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8677" w14:textId="77777777" w:rsidR="00A17391" w:rsidRPr="00AD2D8D" w:rsidRDefault="00A17391" w:rsidP="00E72482">
      <w:pPr>
        <w:spacing w:after="0" w:line="240" w:lineRule="auto"/>
        <w:jc w:val="center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Paul Rothstein</w:t>
      </w:r>
    </w:p>
    <w:p w14:paraId="7E5D8678" w14:textId="09D4CB30" w:rsidR="00E72482" w:rsidRPr="00AD2D8D" w:rsidRDefault="002B6577" w:rsidP="00C2221E">
      <w:pPr>
        <w:spacing w:after="0" w:line="240" w:lineRule="auto"/>
        <w:jc w:val="center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October</w:t>
      </w:r>
      <w:r w:rsidR="005E6741">
        <w:rPr>
          <w:rFonts w:ascii="Garamond" w:hAnsi="Garamond"/>
          <w:color w:val="000000" w:themeColor="text1"/>
          <w:sz w:val="20"/>
        </w:rPr>
        <w:t xml:space="preserve"> 202</w:t>
      </w:r>
      <w:r>
        <w:rPr>
          <w:rFonts w:ascii="Garamond" w:hAnsi="Garamond"/>
          <w:color w:val="000000" w:themeColor="text1"/>
          <w:sz w:val="20"/>
        </w:rPr>
        <w:t>2</w:t>
      </w:r>
    </w:p>
    <w:p w14:paraId="2D0BB140" w14:textId="77777777" w:rsidR="00C2221E" w:rsidRPr="00AD2D8D" w:rsidRDefault="00C2221E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7E5D8679" w14:textId="0463B31A" w:rsidR="00E72482" w:rsidRPr="00C25920" w:rsidRDefault="00C25920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  <w:r w:rsidRPr="00C25920">
        <w:rPr>
          <w:rFonts w:ascii="Garamond" w:hAnsi="Garamond"/>
          <w:color w:val="000000" w:themeColor="text1"/>
          <w:sz w:val="20"/>
        </w:rPr>
        <w:t xml:space="preserve">Financial Industry Regulatory </w:t>
      </w:r>
      <w:r>
        <w:rPr>
          <w:rFonts w:ascii="Garamond" w:hAnsi="Garamond"/>
          <w:color w:val="000000" w:themeColor="text1"/>
          <w:sz w:val="20"/>
        </w:rPr>
        <w:t>Authority</w:t>
      </w:r>
      <w:r w:rsidR="00E72482" w:rsidRPr="00C25920">
        <w:rPr>
          <w:rFonts w:ascii="Garamond" w:hAnsi="Garamond"/>
          <w:color w:val="000000" w:themeColor="text1"/>
          <w:sz w:val="20"/>
        </w:rPr>
        <w:tab/>
      </w:r>
      <w:r w:rsidR="00E72482" w:rsidRPr="00C25920">
        <w:rPr>
          <w:rFonts w:ascii="Garamond" w:hAnsi="Garamond"/>
          <w:color w:val="000000" w:themeColor="text1"/>
          <w:sz w:val="20"/>
        </w:rPr>
        <w:tab/>
      </w:r>
      <w:r w:rsidR="00E72482" w:rsidRPr="00C25920">
        <w:rPr>
          <w:rFonts w:ascii="Garamond" w:hAnsi="Garamond"/>
          <w:color w:val="000000" w:themeColor="text1"/>
          <w:sz w:val="20"/>
        </w:rPr>
        <w:tab/>
      </w:r>
      <w:r w:rsidR="00E72482" w:rsidRPr="00C25920">
        <w:rPr>
          <w:rFonts w:ascii="Garamond" w:hAnsi="Garamond"/>
          <w:color w:val="000000" w:themeColor="text1"/>
          <w:sz w:val="20"/>
        </w:rPr>
        <w:tab/>
      </w:r>
      <w:r w:rsidR="00E72482" w:rsidRPr="00C25920">
        <w:rPr>
          <w:rFonts w:ascii="Garamond" w:hAnsi="Garamond"/>
          <w:color w:val="000000" w:themeColor="text1"/>
          <w:sz w:val="20"/>
        </w:rPr>
        <w:tab/>
      </w:r>
      <w:r w:rsidR="00E72482" w:rsidRPr="00C25920">
        <w:rPr>
          <w:rFonts w:ascii="Garamond" w:hAnsi="Garamond"/>
          <w:color w:val="000000" w:themeColor="text1"/>
          <w:sz w:val="20"/>
        </w:rPr>
        <w:tab/>
      </w:r>
      <w:r w:rsidR="00805F2A" w:rsidRPr="00C25920">
        <w:rPr>
          <w:rFonts w:ascii="Garamond" w:hAnsi="Garamond"/>
          <w:color w:val="000000" w:themeColor="text1"/>
          <w:sz w:val="20"/>
        </w:rPr>
        <w:t>prothstein1@gmail.com</w:t>
      </w:r>
    </w:p>
    <w:p w14:paraId="7E5D867A" w14:textId="18DEABFE" w:rsidR="00E72482" w:rsidRPr="00AD2D8D" w:rsidRDefault="00201741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17</w:t>
      </w:r>
      <w:r w:rsidR="00C25920">
        <w:rPr>
          <w:rFonts w:ascii="Garamond" w:hAnsi="Garamond"/>
          <w:color w:val="000000" w:themeColor="text1"/>
          <w:sz w:val="20"/>
        </w:rPr>
        <w:t>35</w:t>
      </w:r>
      <w:r w:rsidRPr="00AD2D8D">
        <w:rPr>
          <w:rFonts w:ascii="Garamond" w:hAnsi="Garamond"/>
          <w:color w:val="000000" w:themeColor="text1"/>
          <w:sz w:val="20"/>
        </w:rPr>
        <w:t xml:space="preserve"> </w:t>
      </w:r>
      <w:r w:rsidR="00C25920">
        <w:rPr>
          <w:rFonts w:ascii="Garamond" w:hAnsi="Garamond"/>
          <w:color w:val="000000" w:themeColor="text1"/>
          <w:sz w:val="20"/>
        </w:rPr>
        <w:t>K</w:t>
      </w:r>
      <w:r w:rsidRPr="00AD2D8D">
        <w:rPr>
          <w:rFonts w:ascii="Garamond" w:hAnsi="Garamond"/>
          <w:color w:val="000000" w:themeColor="text1"/>
          <w:sz w:val="20"/>
        </w:rPr>
        <w:t xml:space="preserve"> Street</w:t>
      </w:r>
      <w:r w:rsidR="00C25920">
        <w:rPr>
          <w:rFonts w:ascii="Garamond" w:hAnsi="Garamond"/>
          <w:color w:val="000000" w:themeColor="text1"/>
          <w:sz w:val="20"/>
        </w:rPr>
        <w:t>,</w:t>
      </w:r>
      <w:r w:rsidRPr="00AD2D8D">
        <w:rPr>
          <w:rFonts w:ascii="Garamond" w:hAnsi="Garamond"/>
          <w:color w:val="000000" w:themeColor="text1"/>
          <w:sz w:val="20"/>
        </w:rPr>
        <w:t xml:space="preserve"> NW</w:t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363BA8" w:rsidRPr="00AD2D8D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 xml:space="preserve">  </w:t>
      </w:r>
    </w:p>
    <w:p w14:paraId="7E5D867B" w14:textId="21C24276" w:rsidR="00E72482" w:rsidRPr="00AD2D8D" w:rsidRDefault="00201741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Washington, DC 20</w:t>
      </w:r>
      <w:r w:rsidR="00C25920">
        <w:rPr>
          <w:rFonts w:ascii="Garamond" w:hAnsi="Garamond"/>
          <w:color w:val="000000" w:themeColor="text1"/>
          <w:sz w:val="20"/>
        </w:rPr>
        <w:t>006</w:t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  <w:r w:rsidR="00805F2A">
        <w:rPr>
          <w:rFonts w:ascii="Garamond" w:hAnsi="Garamond"/>
          <w:color w:val="000000" w:themeColor="text1"/>
          <w:sz w:val="20"/>
        </w:rPr>
        <w:tab/>
      </w:r>
    </w:p>
    <w:p w14:paraId="7E5D867D" w14:textId="77777777" w:rsidR="00E154F7" w:rsidRPr="00AD2D8D" w:rsidRDefault="00E154F7" w:rsidP="00E72482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</w:p>
    <w:p w14:paraId="7E5D867E" w14:textId="77777777" w:rsidR="00E154F7" w:rsidRPr="00AD2D8D" w:rsidRDefault="00E154F7" w:rsidP="00E72482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</w:p>
    <w:p w14:paraId="7E5D867F" w14:textId="77777777" w:rsidR="00A17391" w:rsidRPr="00AD2D8D" w:rsidRDefault="00A17391" w:rsidP="00E72482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Education</w:t>
      </w:r>
    </w:p>
    <w:p w14:paraId="396B732E" w14:textId="66130CA7" w:rsidR="0088644D" w:rsidRDefault="0088644D" w:rsidP="00C0307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Wharton Executive Education, FINRA Leadership Development Program, 2022.</w:t>
      </w:r>
    </w:p>
    <w:p w14:paraId="7E5D8680" w14:textId="00398337" w:rsidR="00C0307B" w:rsidRPr="00AD2D8D" w:rsidRDefault="00C0307B" w:rsidP="00C0307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Ph.D., Economics, University of California </w:t>
      </w:r>
      <w:r w:rsidR="00AE3817">
        <w:rPr>
          <w:rFonts w:ascii="Garamond" w:hAnsi="Garamond"/>
          <w:color w:val="000000" w:themeColor="text1"/>
          <w:sz w:val="20"/>
        </w:rPr>
        <w:t>at Berkeley, Berkeley, CA</w:t>
      </w:r>
      <w:r w:rsidR="00D31154">
        <w:rPr>
          <w:rFonts w:ascii="Garamond" w:hAnsi="Garamond"/>
          <w:color w:val="000000" w:themeColor="text1"/>
          <w:sz w:val="20"/>
        </w:rPr>
        <w:t>, 1988.</w:t>
      </w:r>
    </w:p>
    <w:p w14:paraId="7E5D8681" w14:textId="5E9650D6" w:rsidR="00C0307B" w:rsidRPr="00AD2D8D" w:rsidRDefault="00C0307B" w:rsidP="00C0307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B.A., Economics and Political Science, Yale </w:t>
      </w:r>
      <w:r w:rsidR="00AE3817">
        <w:rPr>
          <w:rFonts w:ascii="Garamond" w:hAnsi="Garamond"/>
          <w:color w:val="000000" w:themeColor="text1"/>
          <w:sz w:val="20"/>
        </w:rPr>
        <w:t>University, New Haven, CT</w:t>
      </w:r>
      <w:r w:rsidR="00D31154">
        <w:rPr>
          <w:rFonts w:ascii="Garamond" w:hAnsi="Garamond"/>
          <w:color w:val="000000" w:themeColor="text1"/>
          <w:sz w:val="20"/>
        </w:rPr>
        <w:t>, 1981.</w:t>
      </w:r>
    </w:p>
    <w:p w14:paraId="7E5D8682" w14:textId="77777777" w:rsidR="00C0307B" w:rsidRPr="00AD2D8D" w:rsidRDefault="00C0307B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7B713821" w14:textId="77777777" w:rsidR="00C27204" w:rsidRPr="00AD2D8D" w:rsidRDefault="00C27204" w:rsidP="00C27204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Fields of Interest</w:t>
      </w:r>
    </w:p>
    <w:p w14:paraId="61E94FA5" w14:textId="105A9D18" w:rsidR="00C27204" w:rsidRPr="00AD2D8D" w:rsidRDefault="003A0475" w:rsidP="00C27204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 xml:space="preserve">Consumer and </w:t>
      </w:r>
      <w:r w:rsidR="00BA79C0">
        <w:rPr>
          <w:rFonts w:ascii="Garamond" w:hAnsi="Garamond"/>
          <w:color w:val="000000" w:themeColor="text1"/>
          <w:sz w:val="20"/>
        </w:rPr>
        <w:t>h</w:t>
      </w:r>
      <w:r>
        <w:rPr>
          <w:rFonts w:ascii="Garamond" w:hAnsi="Garamond"/>
          <w:color w:val="000000" w:themeColor="text1"/>
          <w:sz w:val="20"/>
        </w:rPr>
        <w:t xml:space="preserve">ousehold </w:t>
      </w:r>
      <w:r w:rsidR="00BA79C0">
        <w:rPr>
          <w:rFonts w:ascii="Garamond" w:hAnsi="Garamond"/>
          <w:color w:val="000000" w:themeColor="text1"/>
          <w:sz w:val="20"/>
        </w:rPr>
        <w:t>f</w:t>
      </w:r>
      <w:r>
        <w:rPr>
          <w:rFonts w:ascii="Garamond" w:hAnsi="Garamond"/>
          <w:color w:val="000000" w:themeColor="text1"/>
          <w:sz w:val="20"/>
        </w:rPr>
        <w:t xml:space="preserve">inance, </w:t>
      </w:r>
      <w:r w:rsidR="00BA79C0">
        <w:rPr>
          <w:rFonts w:ascii="Garamond" w:hAnsi="Garamond"/>
          <w:color w:val="000000" w:themeColor="text1"/>
          <w:sz w:val="20"/>
        </w:rPr>
        <w:t>r</w:t>
      </w:r>
      <w:r>
        <w:rPr>
          <w:rFonts w:ascii="Garamond" w:hAnsi="Garamond"/>
          <w:color w:val="000000" w:themeColor="text1"/>
          <w:sz w:val="20"/>
        </w:rPr>
        <w:t>egulation</w:t>
      </w:r>
      <w:r w:rsidR="00BA79C0">
        <w:rPr>
          <w:rFonts w:ascii="Garamond" w:hAnsi="Garamond"/>
          <w:color w:val="000000" w:themeColor="text1"/>
          <w:sz w:val="20"/>
        </w:rPr>
        <w:t xml:space="preserve"> of retail securities and consumer credit markets</w:t>
      </w:r>
      <w:r>
        <w:rPr>
          <w:rFonts w:ascii="Garamond" w:hAnsi="Garamond"/>
          <w:color w:val="000000" w:themeColor="text1"/>
          <w:sz w:val="20"/>
        </w:rPr>
        <w:t xml:space="preserve">, </w:t>
      </w:r>
      <w:r w:rsidR="00BA79C0">
        <w:rPr>
          <w:rFonts w:ascii="Garamond" w:hAnsi="Garamond"/>
          <w:color w:val="000000" w:themeColor="text1"/>
          <w:sz w:val="20"/>
        </w:rPr>
        <w:t>c</w:t>
      </w:r>
      <w:r>
        <w:rPr>
          <w:rFonts w:ascii="Garamond" w:hAnsi="Garamond"/>
          <w:color w:val="000000" w:themeColor="text1"/>
          <w:sz w:val="20"/>
        </w:rPr>
        <w:t>ost-</w:t>
      </w:r>
      <w:r w:rsidR="00BA79C0">
        <w:rPr>
          <w:rFonts w:ascii="Garamond" w:hAnsi="Garamond"/>
          <w:color w:val="000000" w:themeColor="text1"/>
          <w:sz w:val="20"/>
        </w:rPr>
        <w:t>b</w:t>
      </w:r>
      <w:r>
        <w:rPr>
          <w:rFonts w:ascii="Garamond" w:hAnsi="Garamond"/>
          <w:color w:val="000000" w:themeColor="text1"/>
          <w:sz w:val="20"/>
        </w:rPr>
        <w:t xml:space="preserve">enefit </w:t>
      </w:r>
      <w:r w:rsidR="00BA79C0">
        <w:rPr>
          <w:rFonts w:ascii="Garamond" w:hAnsi="Garamond"/>
          <w:color w:val="000000" w:themeColor="text1"/>
          <w:sz w:val="20"/>
        </w:rPr>
        <w:t>a</w:t>
      </w:r>
      <w:r>
        <w:rPr>
          <w:rFonts w:ascii="Garamond" w:hAnsi="Garamond"/>
          <w:color w:val="000000" w:themeColor="text1"/>
          <w:sz w:val="20"/>
        </w:rPr>
        <w:t xml:space="preserve">nalysis, </w:t>
      </w:r>
      <w:r w:rsidR="00BA79C0">
        <w:rPr>
          <w:rFonts w:ascii="Garamond" w:hAnsi="Garamond"/>
          <w:color w:val="000000" w:themeColor="text1"/>
          <w:sz w:val="20"/>
        </w:rPr>
        <w:t>economic analysis of public policy, p</w:t>
      </w:r>
      <w:r>
        <w:rPr>
          <w:rFonts w:ascii="Garamond" w:hAnsi="Garamond"/>
          <w:color w:val="000000" w:themeColor="text1"/>
          <w:sz w:val="20"/>
        </w:rPr>
        <w:t xml:space="preserve">ublic </w:t>
      </w:r>
      <w:r w:rsidR="00BA79C0">
        <w:rPr>
          <w:rFonts w:ascii="Garamond" w:hAnsi="Garamond"/>
          <w:color w:val="000000" w:themeColor="text1"/>
          <w:sz w:val="20"/>
        </w:rPr>
        <w:t>s</w:t>
      </w:r>
      <w:r>
        <w:rPr>
          <w:rFonts w:ascii="Garamond" w:hAnsi="Garamond"/>
          <w:color w:val="000000" w:themeColor="text1"/>
          <w:sz w:val="20"/>
        </w:rPr>
        <w:t xml:space="preserve">ector </w:t>
      </w:r>
      <w:r w:rsidR="00BA79C0">
        <w:rPr>
          <w:rFonts w:ascii="Garamond" w:hAnsi="Garamond"/>
          <w:color w:val="000000" w:themeColor="text1"/>
          <w:sz w:val="20"/>
        </w:rPr>
        <w:t>e</w:t>
      </w:r>
      <w:r>
        <w:rPr>
          <w:rFonts w:ascii="Garamond" w:hAnsi="Garamond"/>
          <w:color w:val="000000" w:themeColor="text1"/>
          <w:sz w:val="20"/>
        </w:rPr>
        <w:t>conomics</w:t>
      </w:r>
      <w:r w:rsidR="00595F53">
        <w:rPr>
          <w:rFonts w:ascii="Garamond" w:hAnsi="Garamond"/>
          <w:color w:val="000000" w:themeColor="text1"/>
          <w:sz w:val="20"/>
        </w:rPr>
        <w:t>.</w:t>
      </w:r>
    </w:p>
    <w:p w14:paraId="4EA164AD" w14:textId="77777777" w:rsidR="00C27204" w:rsidRPr="00AD2D8D" w:rsidRDefault="00C27204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7E5D8683" w14:textId="77777777" w:rsidR="00A17391" w:rsidRPr="00AD2D8D" w:rsidRDefault="00A17391" w:rsidP="00E72482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Professional Experience</w:t>
      </w:r>
    </w:p>
    <w:p w14:paraId="6F3F5695" w14:textId="77777777" w:rsidR="00F97860" w:rsidRPr="00AD2D8D" w:rsidRDefault="00F97860" w:rsidP="00E7086A">
      <w:pPr>
        <w:spacing w:after="0" w:line="240" w:lineRule="auto"/>
        <w:ind w:left="450"/>
        <w:rPr>
          <w:rFonts w:ascii="Garamond" w:hAnsi="Garamond"/>
          <w:bCs/>
          <w:color w:val="000000" w:themeColor="text1"/>
          <w:sz w:val="20"/>
        </w:rPr>
      </w:pPr>
    </w:p>
    <w:p w14:paraId="49219E23" w14:textId="3A9EAF31" w:rsidR="00456E96" w:rsidRPr="00456E96" w:rsidRDefault="00456E96" w:rsidP="00456E96">
      <w:pPr>
        <w:pStyle w:val="ListParagraph"/>
        <w:numPr>
          <w:ilvl w:val="0"/>
          <w:numId w:val="7"/>
        </w:numPr>
        <w:spacing w:after="0" w:line="240" w:lineRule="auto"/>
        <w:ind w:left="450" w:hanging="270"/>
        <w:rPr>
          <w:rFonts w:ascii="Garamond" w:hAnsi="Garamond"/>
          <w:b/>
          <w:color w:val="000000" w:themeColor="text1"/>
          <w:sz w:val="20"/>
        </w:rPr>
      </w:pPr>
      <w:r>
        <w:rPr>
          <w:rFonts w:ascii="Garamond" w:hAnsi="Garamond"/>
          <w:b/>
          <w:color w:val="000000" w:themeColor="text1"/>
          <w:sz w:val="20"/>
        </w:rPr>
        <w:t>Office of The Chief Economist, Financial Industry Regulatory Authority, Washington, DC</w:t>
      </w:r>
    </w:p>
    <w:p w14:paraId="29BC8F6A" w14:textId="77777777" w:rsidR="00456E96" w:rsidRPr="00AD2D8D" w:rsidRDefault="00456E96" w:rsidP="00456E96">
      <w:pPr>
        <w:spacing w:after="0" w:line="240" w:lineRule="auto"/>
        <w:ind w:firstLine="720"/>
        <w:rPr>
          <w:rFonts w:ascii="Garamond" w:hAnsi="Garamond"/>
          <w:color w:val="000000" w:themeColor="text1"/>
          <w:sz w:val="20"/>
        </w:rPr>
      </w:pPr>
    </w:p>
    <w:p w14:paraId="41D6A229" w14:textId="1B5E4037" w:rsidR="00456E96" w:rsidRPr="00456E96" w:rsidRDefault="005235F7" w:rsidP="00456E96">
      <w:pPr>
        <w:pStyle w:val="ListParagraph"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Cs/>
          <w:color w:val="000000" w:themeColor="text1"/>
          <w:sz w:val="20"/>
        </w:rPr>
      </w:pPr>
      <w:r>
        <w:rPr>
          <w:rFonts w:ascii="Garamond" w:hAnsi="Garamond"/>
          <w:b/>
          <w:color w:val="000000" w:themeColor="text1"/>
          <w:sz w:val="20"/>
        </w:rPr>
        <w:t>Assistant Chief Economist</w:t>
      </w:r>
      <w:r w:rsidR="00A05C1F">
        <w:rPr>
          <w:rFonts w:ascii="Garamond" w:hAnsi="Garamond"/>
          <w:b/>
          <w:color w:val="000000" w:themeColor="text1"/>
          <w:sz w:val="20"/>
        </w:rPr>
        <w:t xml:space="preserve"> and Senior Director</w:t>
      </w:r>
      <w:r>
        <w:rPr>
          <w:rFonts w:ascii="Garamond" w:hAnsi="Garamond"/>
          <w:b/>
          <w:color w:val="000000" w:themeColor="text1"/>
          <w:sz w:val="20"/>
        </w:rPr>
        <w:t xml:space="preserve"> </w:t>
      </w:r>
      <w:r w:rsidR="00456E96" w:rsidRPr="00AD2D8D">
        <w:rPr>
          <w:rFonts w:ascii="Garamond" w:hAnsi="Garamond"/>
          <w:b/>
          <w:color w:val="000000" w:themeColor="text1"/>
          <w:sz w:val="20"/>
        </w:rPr>
        <w:t>(</w:t>
      </w:r>
      <w:r w:rsidR="00456E96">
        <w:rPr>
          <w:rFonts w:ascii="Garamond" w:hAnsi="Garamond"/>
          <w:b/>
          <w:color w:val="000000" w:themeColor="text1"/>
          <w:sz w:val="20"/>
        </w:rPr>
        <w:t>September</w:t>
      </w:r>
      <w:r w:rsidR="00456E96" w:rsidRPr="00AD2D8D">
        <w:rPr>
          <w:rFonts w:ascii="Garamond" w:hAnsi="Garamond"/>
          <w:b/>
          <w:color w:val="000000" w:themeColor="text1"/>
          <w:sz w:val="20"/>
        </w:rPr>
        <w:t xml:space="preserve"> 20</w:t>
      </w:r>
      <w:r w:rsidR="00A839A3">
        <w:rPr>
          <w:rFonts w:ascii="Garamond" w:hAnsi="Garamond"/>
          <w:b/>
          <w:color w:val="000000" w:themeColor="text1"/>
          <w:sz w:val="20"/>
        </w:rPr>
        <w:t>20</w:t>
      </w:r>
      <w:r w:rsidR="00456E96" w:rsidRPr="00AD2D8D">
        <w:rPr>
          <w:rFonts w:ascii="Garamond" w:hAnsi="Garamond"/>
          <w:b/>
          <w:color w:val="000000" w:themeColor="text1"/>
          <w:sz w:val="20"/>
        </w:rPr>
        <w:t xml:space="preserve"> – present)</w:t>
      </w:r>
    </w:p>
    <w:p w14:paraId="7D12A2A1" w14:textId="07B2D0BF" w:rsidR="00456E96" w:rsidRPr="008250ED" w:rsidRDefault="00FF67D0" w:rsidP="008250ED">
      <w:pPr>
        <w:pStyle w:val="ListParagraph"/>
        <w:spacing w:after="0" w:line="240" w:lineRule="auto"/>
        <w:rPr>
          <w:rFonts w:ascii="Garamond" w:hAnsi="Garamond"/>
          <w:bCs/>
          <w:color w:val="000000" w:themeColor="text1"/>
          <w:sz w:val="20"/>
        </w:rPr>
      </w:pPr>
      <w:r>
        <w:rPr>
          <w:rFonts w:ascii="Garamond" w:hAnsi="Garamond"/>
          <w:bCs/>
          <w:color w:val="000000" w:themeColor="text1"/>
          <w:sz w:val="20"/>
        </w:rPr>
        <w:t>Develop and implement the plan for the growth of the Office of the Chief Economist, as a member of the management team of the Office; l</w:t>
      </w:r>
      <w:r w:rsidR="008250ED">
        <w:rPr>
          <w:rFonts w:ascii="Garamond" w:hAnsi="Garamond"/>
          <w:bCs/>
          <w:color w:val="000000" w:themeColor="text1"/>
          <w:sz w:val="20"/>
        </w:rPr>
        <w:t xml:space="preserve">ead and grow a </w:t>
      </w:r>
      <w:r>
        <w:rPr>
          <w:rFonts w:ascii="Garamond" w:hAnsi="Garamond"/>
          <w:bCs/>
          <w:color w:val="000000" w:themeColor="text1"/>
          <w:sz w:val="20"/>
        </w:rPr>
        <w:t>team</w:t>
      </w:r>
      <w:r w:rsidR="008250ED">
        <w:rPr>
          <w:rFonts w:ascii="Garamond" w:hAnsi="Garamond"/>
          <w:bCs/>
          <w:color w:val="000000" w:themeColor="text1"/>
          <w:sz w:val="20"/>
        </w:rPr>
        <w:t xml:space="preserve"> of economists and finance professionals in the analysis of the economic impacts of proposed regulations </w:t>
      </w:r>
      <w:r w:rsidR="00D044AC">
        <w:rPr>
          <w:rFonts w:ascii="Garamond" w:hAnsi="Garamond"/>
          <w:bCs/>
          <w:color w:val="000000" w:themeColor="text1"/>
          <w:sz w:val="20"/>
        </w:rPr>
        <w:t xml:space="preserve">addressing </w:t>
      </w:r>
      <w:r w:rsidR="008250ED">
        <w:rPr>
          <w:rFonts w:ascii="Garamond" w:hAnsi="Garamond"/>
          <w:bCs/>
          <w:color w:val="000000" w:themeColor="text1"/>
          <w:sz w:val="20"/>
        </w:rPr>
        <w:t xml:space="preserve">the </w:t>
      </w:r>
      <w:r w:rsidR="00D044AC">
        <w:rPr>
          <w:rFonts w:ascii="Garamond" w:hAnsi="Garamond"/>
          <w:bCs/>
          <w:color w:val="000000" w:themeColor="text1"/>
          <w:sz w:val="20"/>
        </w:rPr>
        <w:t xml:space="preserve">business </w:t>
      </w:r>
      <w:r w:rsidR="008250ED">
        <w:rPr>
          <w:rFonts w:ascii="Garamond" w:hAnsi="Garamond"/>
          <w:bCs/>
          <w:color w:val="000000" w:themeColor="text1"/>
          <w:sz w:val="20"/>
        </w:rPr>
        <w:t>conduct of broker-dealer firms;</w:t>
      </w:r>
      <w:r w:rsidRPr="00FF67D0">
        <w:rPr>
          <w:rFonts w:ascii="Garamond" w:hAnsi="Garamond"/>
          <w:bCs/>
          <w:color w:val="000000" w:themeColor="text1"/>
          <w:sz w:val="20"/>
        </w:rPr>
        <w:t xml:space="preserve"> </w:t>
      </w:r>
      <w:r w:rsidR="008250ED">
        <w:rPr>
          <w:rFonts w:ascii="Garamond" w:hAnsi="Garamond"/>
          <w:bCs/>
          <w:color w:val="000000" w:themeColor="text1"/>
          <w:sz w:val="20"/>
        </w:rPr>
        <w:t xml:space="preserve">represent the Office </w:t>
      </w:r>
      <w:r w:rsidR="007244AA">
        <w:rPr>
          <w:rFonts w:ascii="Garamond" w:hAnsi="Garamond"/>
          <w:bCs/>
          <w:color w:val="000000" w:themeColor="text1"/>
          <w:sz w:val="20"/>
        </w:rPr>
        <w:t xml:space="preserve">in a FINRA-wide initiative examining the </w:t>
      </w:r>
      <w:r w:rsidR="008A2834" w:rsidRPr="008250ED">
        <w:rPr>
          <w:rFonts w:ascii="Garamond" w:hAnsi="Garamond"/>
          <w:bCs/>
          <w:color w:val="000000" w:themeColor="text1"/>
          <w:sz w:val="20"/>
        </w:rPr>
        <w:t xml:space="preserve">use </w:t>
      </w:r>
      <w:r>
        <w:rPr>
          <w:rFonts w:ascii="Garamond" w:hAnsi="Garamond"/>
          <w:bCs/>
          <w:color w:val="000000" w:themeColor="text1"/>
          <w:sz w:val="20"/>
        </w:rPr>
        <w:t xml:space="preserve">and potential impacts </w:t>
      </w:r>
      <w:r w:rsidR="008A2834" w:rsidRPr="008250ED">
        <w:rPr>
          <w:rFonts w:ascii="Garamond" w:hAnsi="Garamond"/>
          <w:bCs/>
          <w:color w:val="000000" w:themeColor="text1"/>
          <w:sz w:val="20"/>
        </w:rPr>
        <w:t xml:space="preserve">of gamification and recommendation systems by </w:t>
      </w:r>
      <w:r>
        <w:rPr>
          <w:rFonts w:ascii="Garamond" w:hAnsi="Garamond"/>
          <w:bCs/>
          <w:color w:val="000000" w:themeColor="text1"/>
          <w:sz w:val="20"/>
        </w:rPr>
        <w:t xml:space="preserve">fintech </w:t>
      </w:r>
      <w:r w:rsidR="008250ED" w:rsidRPr="008250ED">
        <w:rPr>
          <w:rFonts w:ascii="Garamond" w:hAnsi="Garamond"/>
          <w:bCs/>
          <w:color w:val="000000" w:themeColor="text1"/>
          <w:sz w:val="20"/>
        </w:rPr>
        <w:t>broker-dealers</w:t>
      </w:r>
      <w:r>
        <w:rPr>
          <w:rFonts w:ascii="Garamond" w:hAnsi="Garamond"/>
          <w:bCs/>
          <w:color w:val="000000" w:themeColor="text1"/>
          <w:sz w:val="20"/>
        </w:rPr>
        <w:t xml:space="preserve">; </w:t>
      </w:r>
      <w:r w:rsidR="007244AA">
        <w:rPr>
          <w:rFonts w:ascii="Garamond" w:hAnsi="Garamond"/>
          <w:bCs/>
          <w:color w:val="000000" w:themeColor="text1"/>
          <w:sz w:val="20"/>
        </w:rPr>
        <w:t>provide the Chief Economist with timely responses to questions by the CEO</w:t>
      </w:r>
      <w:r>
        <w:rPr>
          <w:rFonts w:ascii="Garamond" w:hAnsi="Garamond"/>
          <w:bCs/>
          <w:color w:val="000000" w:themeColor="text1"/>
          <w:sz w:val="20"/>
        </w:rPr>
        <w:t xml:space="preserve"> concerning news</w:t>
      </w:r>
      <w:r w:rsidR="00D044AC">
        <w:rPr>
          <w:rFonts w:ascii="Garamond" w:hAnsi="Garamond"/>
          <w:bCs/>
          <w:color w:val="000000" w:themeColor="text1"/>
          <w:sz w:val="20"/>
        </w:rPr>
        <w:t xml:space="preserve">, forthcoming </w:t>
      </w:r>
      <w:r>
        <w:rPr>
          <w:rFonts w:ascii="Garamond" w:hAnsi="Garamond"/>
          <w:bCs/>
          <w:color w:val="000000" w:themeColor="text1"/>
          <w:sz w:val="20"/>
        </w:rPr>
        <w:t xml:space="preserve">research </w:t>
      </w:r>
      <w:r w:rsidR="00D044AC">
        <w:rPr>
          <w:rFonts w:ascii="Garamond" w:hAnsi="Garamond"/>
          <w:bCs/>
          <w:color w:val="000000" w:themeColor="text1"/>
          <w:sz w:val="20"/>
        </w:rPr>
        <w:t xml:space="preserve">or proposed rules related to </w:t>
      </w:r>
      <w:r>
        <w:rPr>
          <w:rFonts w:ascii="Garamond" w:hAnsi="Garamond"/>
          <w:bCs/>
          <w:color w:val="000000" w:themeColor="text1"/>
          <w:sz w:val="20"/>
        </w:rPr>
        <w:t xml:space="preserve">the </w:t>
      </w:r>
      <w:r w:rsidR="00D044AC">
        <w:rPr>
          <w:rFonts w:ascii="Garamond" w:hAnsi="Garamond"/>
          <w:bCs/>
          <w:color w:val="000000" w:themeColor="text1"/>
          <w:sz w:val="20"/>
        </w:rPr>
        <w:t xml:space="preserve">business </w:t>
      </w:r>
      <w:r>
        <w:rPr>
          <w:rFonts w:ascii="Garamond" w:hAnsi="Garamond"/>
          <w:bCs/>
          <w:color w:val="000000" w:themeColor="text1"/>
          <w:sz w:val="20"/>
        </w:rPr>
        <w:t>conduct of broker-dealer firm</w:t>
      </w:r>
      <w:r w:rsidR="007513D8">
        <w:rPr>
          <w:rFonts w:ascii="Garamond" w:hAnsi="Garamond"/>
          <w:bCs/>
          <w:color w:val="000000" w:themeColor="text1"/>
          <w:sz w:val="20"/>
        </w:rPr>
        <w:t>s</w:t>
      </w:r>
      <w:r w:rsidR="00D044AC">
        <w:rPr>
          <w:rFonts w:ascii="Garamond" w:hAnsi="Garamond"/>
          <w:bCs/>
          <w:color w:val="000000" w:themeColor="text1"/>
          <w:sz w:val="20"/>
        </w:rPr>
        <w:t xml:space="preserve">; </w:t>
      </w:r>
      <w:r w:rsidR="002E131A" w:rsidRPr="008250ED">
        <w:rPr>
          <w:rFonts w:ascii="Garamond" w:hAnsi="Garamond"/>
          <w:bCs/>
          <w:color w:val="000000" w:themeColor="text1"/>
          <w:sz w:val="20"/>
        </w:rPr>
        <w:t xml:space="preserve">serve as liaison between </w:t>
      </w:r>
      <w:r w:rsidR="00A839A3" w:rsidRPr="008250ED">
        <w:rPr>
          <w:rFonts w:ascii="Garamond" w:hAnsi="Garamond"/>
          <w:bCs/>
          <w:color w:val="000000" w:themeColor="text1"/>
          <w:sz w:val="20"/>
        </w:rPr>
        <w:t>the Office</w:t>
      </w:r>
      <w:r w:rsidR="002E131A" w:rsidRPr="008250ED">
        <w:rPr>
          <w:rFonts w:ascii="Garamond" w:hAnsi="Garamond"/>
          <w:bCs/>
          <w:color w:val="000000" w:themeColor="text1"/>
          <w:sz w:val="20"/>
        </w:rPr>
        <w:t xml:space="preserve"> and internal and external constituencies.</w:t>
      </w:r>
    </w:p>
    <w:p w14:paraId="6D9E1144" w14:textId="3CB86CE6" w:rsidR="00456E96" w:rsidRPr="00456E96" w:rsidRDefault="00456E96" w:rsidP="00456E96">
      <w:pPr>
        <w:spacing w:after="0" w:line="240" w:lineRule="auto"/>
        <w:rPr>
          <w:rFonts w:ascii="Garamond" w:hAnsi="Garamond"/>
          <w:b/>
          <w:color w:val="000000" w:themeColor="text1"/>
          <w:sz w:val="20"/>
        </w:rPr>
      </w:pPr>
      <w:r w:rsidRPr="00456E96">
        <w:rPr>
          <w:rFonts w:ascii="Garamond" w:hAnsi="Garamond"/>
          <w:b/>
          <w:color w:val="000000" w:themeColor="text1"/>
          <w:sz w:val="20"/>
        </w:rPr>
        <w:t xml:space="preserve"> </w:t>
      </w:r>
    </w:p>
    <w:p w14:paraId="7BF351E0" w14:textId="06DEECA9" w:rsidR="006A7D17" w:rsidRPr="00AD2D8D" w:rsidRDefault="00E56EEB" w:rsidP="00730F31">
      <w:pPr>
        <w:pStyle w:val="ListParagraph"/>
        <w:numPr>
          <w:ilvl w:val="0"/>
          <w:numId w:val="7"/>
        </w:numPr>
        <w:spacing w:after="0" w:line="240" w:lineRule="auto"/>
        <w:ind w:left="450" w:hanging="270"/>
        <w:rPr>
          <w:rFonts w:ascii="Garamond" w:hAnsi="Garamond"/>
          <w:b/>
          <w:color w:val="000000" w:themeColor="text1"/>
          <w:sz w:val="20"/>
        </w:rPr>
      </w:pPr>
      <w:bookmarkStart w:id="0" w:name="_Hlk48597999"/>
      <w:r w:rsidRPr="00AD2D8D">
        <w:rPr>
          <w:rFonts w:ascii="Garamond" w:hAnsi="Garamond"/>
          <w:b/>
          <w:color w:val="000000" w:themeColor="text1"/>
          <w:sz w:val="20"/>
        </w:rPr>
        <w:t>Office of Research, Consumer Financial Protection</w:t>
      </w:r>
      <w:r w:rsidR="00221EA2">
        <w:rPr>
          <w:rFonts w:ascii="Garamond" w:hAnsi="Garamond"/>
          <w:b/>
          <w:color w:val="000000" w:themeColor="text1"/>
          <w:sz w:val="20"/>
        </w:rPr>
        <w:t xml:space="preserve"> Bureau</w:t>
      </w:r>
      <w:r w:rsidR="00C0307B" w:rsidRPr="00AD2D8D">
        <w:rPr>
          <w:rFonts w:ascii="Garamond" w:hAnsi="Garamond"/>
          <w:b/>
          <w:color w:val="000000" w:themeColor="text1"/>
          <w:sz w:val="20"/>
        </w:rPr>
        <w:t>, Washington, DC</w:t>
      </w:r>
    </w:p>
    <w:p w14:paraId="7E5D8686" w14:textId="77777777" w:rsidR="002654C8" w:rsidRPr="00AD2D8D" w:rsidRDefault="002654C8" w:rsidP="002654C8">
      <w:pPr>
        <w:spacing w:after="0" w:line="240" w:lineRule="auto"/>
        <w:ind w:firstLine="720"/>
        <w:rPr>
          <w:rFonts w:ascii="Garamond" w:hAnsi="Garamond"/>
          <w:color w:val="000000" w:themeColor="text1"/>
          <w:sz w:val="20"/>
        </w:rPr>
      </w:pPr>
    </w:p>
    <w:p w14:paraId="3570B36A" w14:textId="1342AC77" w:rsidR="004E3110" w:rsidRPr="00AD2D8D" w:rsidRDefault="004E3110" w:rsidP="004E3110">
      <w:pPr>
        <w:pStyle w:val="ListParagraph"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Cs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 xml:space="preserve">Section Chief, Financial Institutions and Regulatory Policy (November 2013 – </w:t>
      </w:r>
      <w:r w:rsidR="00456E96">
        <w:rPr>
          <w:rFonts w:ascii="Garamond" w:hAnsi="Garamond"/>
          <w:b/>
          <w:color w:val="000000" w:themeColor="text1"/>
          <w:sz w:val="20"/>
        </w:rPr>
        <w:t>September 2020</w:t>
      </w:r>
      <w:r w:rsidRPr="00AD2D8D">
        <w:rPr>
          <w:rFonts w:ascii="Garamond" w:hAnsi="Garamond"/>
          <w:b/>
          <w:color w:val="000000" w:themeColor="text1"/>
          <w:sz w:val="20"/>
        </w:rPr>
        <w:t>)</w:t>
      </w:r>
    </w:p>
    <w:bookmarkEnd w:id="0"/>
    <w:p w14:paraId="4D7FA792" w14:textId="77777777" w:rsidR="003D488C" w:rsidRDefault="004E3110" w:rsidP="003D488C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Lead a team </w:t>
      </w:r>
      <w:r>
        <w:rPr>
          <w:rFonts w:ascii="Garamond" w:hAnsi="Garamond"/>
          <w:color w:val="000000" w:themeColor="text1"/>
          <w:sz w:val="20"/>
        </w:rPr>
        <w:t>currently staffed by 4</w:t>
      </w:r>
      <w:r w:rsidRPr="00AD2D8D">
        <w:rPr>
          <w:rFonts w:ascii="Garamond" w:hAnsi="Garamond"/>
          <w:color w:val="000000" w:themeColor="text1"/>
          <w:sz w:val="20"/>
        </w:rPr>
        <w:t xml:space="preserve"> PhD econ</w:t>
      </w:r>
      <w:r>
        <w:rPr>
          <w:rFonts w:ascii="Garamond" w:hAnsi="Garamond"/>
          <w:color w:val="000000" w:themeColor="text1"/>
          <w:sz w:val="20"/>
        </w:rPr>
        <w:t>omists and 3</w:t>
      </w:r>
      <w:r w:rsidR="00F46C48">
        <w:rPr>
          <w:rFonts w:ascii="Garamond" w:hAnsi="Garamond"/>
          <w:color w:val="000000" w:themeColor="text1"/>
          <w:sz w:val="20"/>
        </w:rPr>
        <w:t xml:space="preserve"> research assistants. </w:t>
      </w:r>
      <w:r w:rsidR="003D488C">
        <w:rPr>
          <w:rFonts w:ascii="Garamond" w:hAnsi="Garamond"/>
          <w:color w:val="000000" w:themeColor="text1"/>
          <w:sz w:val="20"/>
        </w:rPr>
        <w:t>Assign work, d</w:t>
      </w:r>
      <w:r w:rsidRPr="00AD2D8D">
        <w:rPr>
          <w:rFonts w:ascii="Garamond" w:hAnsi="Garamond"/>
          <w:color w:val="000000" w:themeColor="text1"/>
          <w:sz w:val="20"/>
        </w:rPr>
        <w:t>evelop annual performance plans and conduct midyear and a</w:t>
      </w:r>
      <w:r w:rsidR="00F46C48">
        <w:rPr>
          <w:rFonts w:ascii="Garamond" w:hAnsi="Garamond"/>
          <w:color w:val="000000" w:themeColor="text1"/>
          <w:sz w:val="20"/>
        </w:rPr>
        <w:t xml:space="preserve">nnual performance evaluations. </w:t>
      </w:r>
      <w:r w:rsidRPr="00AD2D8D">
        <w:rPr>
          <w:rFonts w:ascii="Garamond" w:hAnsi="Garamond"/>
          <w:color w:val="000000" w:themeColor="text1"/>
          <w:sz w:val="20"/>
        </w:rPr>
        <w:t>Support the development of my team as subject matter experts, skilled and reliable analysts, and strong communicators</w:t>
      </w:r>
      <w:r w:rsidR="003D488C">
        <w:rPr>
          <w:rFonts w:ascii="Garamond" w:hAnsi="Garamond"/>
          <w:color w:val="000000" w:themeColor="text1"/>
          <w:sz w:val="20"/>
        </w:rPr>
        <w:t>. Team areas of expertise include mortgage loan originations and servicing, prepaid accounts, property assessed clean energy financing, and remittance transfers.</w:t>
      </w:r>
    </w:p>
    <w:p w14:paraId="4E29C334" w14:textId="77777777" w:rsidR="003D488C" w:rsidRDefault="003D488C" w:rsidP="003D488C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</w:p>
    <w:p w14:paraId="31CDEC93" w14:textId="74ABBCAA" w:rsidR="004E3110" w:rsidRPr="003D488C" w:rsidRDefault="003D488C" w:rsidP="003D488C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Serve as Division</w:t>
      </w:r>
      <w:r w:rsidR="004E3110" w:rsidRPr="003D488C">
        <w:rPr>
          <w:rFonts w:ascii="Garamond" w:hAnsi="Garamond"/>
          <w:color w:val="000000" w:themeColor="text1"/>
          <w:sz w:val="20"/>
        </w:rPr>
        <w:t xml:space="preserve"> representative to the Bureau’s Data Governance Board</w:t>
      </w:r>
      <w:r w:rsidR="00DB622B" w:rsidRPr="003D488C">
        <w:rPr>
          <w:rFonts w:ascii="Garamond" w:hAnsi="Garamond"/>
          <w:color w:val="000000" w:themeColor="text1"/>
          <w:sz w:val="20"/>
        </w:rPr>
        <w:t xml:space="preserve">. </w:t>
      </w:r>
    </w:p>
    <w:p w14:paraId="6212E92E" w14:textId="77777777" w:rsidR="004E3110" w:rsidRPr="00A1072A" w:rsidRDefault="004E3110" w:rsidP="00A1072A">
      <w:pPr>
        <w:spacing w:after="0" w:line="240" w:lineRule="auto"/>
        <w:rPr>
          <w:rFonts w:ascii="Garamond" w:hAnsi="Garamond"/>
          <w:b/>
          <w:color w:val="000000" w:themeColor="text1"/>
          <w:sz w:val="20"/>
        </w:rPr>
      </w:pPr>
    </w:p>
    <w:p w14:paraId="5DB1AC41" w14:textId="78CF2950" w:rsidR="003114C7" w:rsidRDefault="003114C7" w:rsidP="005110AE">
      <w:pPr>
        <w:pStyle w:val="ListParagraph"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/>
          <w:color w:val="000000" w:themeColor="text1"/>
          <w:sz w:val="20"/>
        </w:rPr>
      </w:pPr>
      <w:r>
        <w:rPr>
          <w:rFonts w:ascii="Garamond" w:hAnsi="Garamond"/>
          <w:b/>
          <w:color w:val="000000" w:themeColor="text1"/>
          <w:sz w:val="20"/>
        </w:rPr>
        <w:t>Acting Deputy Assistant Dire</w:t>
      </w:r>
      <w:r w:rsidR="00D21D53">
        <w:rPr>
          <w:rFonts w:ascii="Garamond" w:hAnsi="Garamond"/>
          <w:b/>
          <w:color w:val="000000" w:themeColor="text1"/>
          <w:sz w:val="20"/>
        </w:rPr>
        <w:t xml:space="preserve">ctor, Office of Research </w:t>
      </w:r>
      <w:r w:rsidR="00D21D53" w:rsidRPr="00E553DD">
        <w:rPr>
          <w:rFonts w:ascii="Garamond" w:hAnsi="Garamond"/>
          <w:b/>
          <w:color w:val="000000" w:themeColor="text1"/>
          <w:sz w:val="20"/>
        </w:rPr>
        <w:t xml:space="preserve">(May </w:t>
      </w:r>
      <w:r w:rsidR="00841A28" w:rsidRPr="00E553DD">
        <w:rPr>
          <w:rFonts w:ascii="Garamond" w:hAnsi="Garamond"/>
          <w:b/>
          <w:color w:val="000000" w:themeColor="text1"/>
          <w:sz w:val="20"/>
        </w:rPr>
        <w:t>2019</w:t>
      </w:r>
      <w:r w:rsidR="004E3110">
        <w:rPr>
          <w:rFonts w:ascii="Garamond" w:hAnsi="Garamond"/>
          <w:b/>
          <w:color w:val="000000" w:themeColor="text1"/>
          <w:sz w:val="20"/>
        </w:rPr>
        <w:t>—September 2019</w:t>
      </w:r>
      <w:r w:rsidRPr="00E553DD">
        <w:rPr>
          <w:rFonts w:ascii="Garamond" w:hAnsi="Garamond"/>
          <w:b/>
          <w:color w:val="000000" w:themeColor="text1"/>
          <w:sz w:val="20"/>
        </w:rPr>
        <w:t>)</w:t>
      </w:r>
    </w:p>
    <w:p w14:paraId="4776B2D2" w14:textId="2EA7C4C7" w:rsidR="0018655B" w:rsidRDefault="005C196E" w:rsidP="00502420">
      <w:pPr>
        <w:pStyle w:val="ListParagraph"/>
        <w:spacing w:after="0" w:line="240" w:lineRule="auto"/>
        <w:rPr>
          <w:rFonts w:ascii="Garamond" w:hAnsi="Garamond"/>
          <w:bCs/>
          <w:color w:val="000000" w:themeColor="text1"/>
          <w:sz w:val="20"/>
        </w:rPr>
      </w:pPr>
      <w:r>
        <w:rPr>
          <w:rFonts w:ascii="Garamond" w:hAnsi="Garamond"/>
          <w:bCs/>
          <w:color w:val="000000" w:themeColor="text1"/>
          <w:sz w:val="20"/>
        </w:rPr>
        <w:t>S</w:t>
      </w:r>
      <w:r w:rsidRPr="005C196E">
        <w:rPr>
          <w:rFonts w:ascii="Garamond" w:hAnsi="Garamond"/>
          <w:bCs/>
          <w:color w:val="000000" w:themeColor="text1"/>
          <w:sz w:val="20"/>
        </w:rPr>
        <w:t>upport</w:t>
      </w:r>
      <w:r>
        <w:rPr>
          <w:rFonts w:ascii="Garamond" w:hAnsi="Garamond"/>
          <w:bCs/>
          <w:color w:val="000000" w:themeColor="text1"/>
          <w:sz w:val="20"/>
        </w:rPr>
        <w:t>ed</w:t>
      </w:r>
      <w:r w:rsidRPr="005C196E">
        <w:rPr>
          <w:rFonts w:ascii="Garamond" w:hAnsi="Garamond"/>
          <w:bCs/>
          <w:color w:val="000000" w:themeColor="text1"/>
          <w:sz w:val="20"/>
        </w:rPr>
        <w:t xml:space="preserve"> the Acting Assistant Director </w:t>
      </w:r>
      <w:r>
        <w:rPr>
          <w:rFonts w:ascii="Garamond" w:hAnsi="Garamond"/>
          <w:bCs/>
          <w:color w:val="000000" w:themeColor="text1"/>
          <w:sz w:val="20"/>
        </w:rPr>
        <w:t>during the search for a new permanent Assistant Director for the Office of Research</w:t>
      </w:r>
      <w:r w:rsidR="007742DD">
        <w:rPr>
          <w:rFonts w:ascii="Garamond" w:hAnsi="Garamond"/>
          <w:bCs/>
          <w:color w:val="000000" w:themeColor="text1"/>
          <w:sz w:val="20"/>
        </w:rPr>
        <w:t>, while continuing as Section Chief</w:t>
      </w:r>
      <w:r>
        <w:rPr>
          <w:rFonts w:ascii="Garamond" w:hAnsi="Garamond"/>
          <w:bCs/>
          <w:color w:val="000000" w:themeColor="text1"/>
          <w:sz w:val="20"/>
        </w:rPr>
        <w:t xml:space="preserve">. </w:t>
      </w:r>
      <w:r w:rsidR="007742DD">
        <w:rPr>
          <w:rFonts w:ascii="Garamond" w:hAnsi="Garamond"/>
          <w:bCs/>
          <w:color w:val="000000" w:themeColor="text1"/>
          <w:sz w:val="20"/>
        </w:rPr>
        <w:t xml:space="preserve">Assumed some of the review and analysis responsibilities of the former Assistant Director. </w:t>
      </w:r>
      <w:r w:rsidR="00F25FD9">
        <w:rPr>
          <w:rFonts w:ascii="Garamond" w:hAnsi="Garamond"/>
          <w:bCs/>
          <w:color w:val="000000" w:themeColor="text1"/>
          <w:sz w:val="20"/>
        </w:rPr>
        <w:t xml:space="preserve">Helped maintain strong resource and project management within the Office and good relationships with Division and Bureau leadership. </w:t>
      </w:r>
    </w:p>
    <w:p w14:paraId="1BA9A652" w14:textId="77777777" w:rsidR="00502420" w:rsidRDefault="00502420" w:rsidP="00502420">
      <w:pPr>
        <w:pStyle w:val="ListParagraph"/>
        <w:spacing w:after="0" w:line="240" w:lineRule="auto"/>
        <w:rPr>
          <w:rFonts w:ascii="Garamond" w:hAnsi="Garamond"/>
          <w:bCs/>
          <w:color w:val="000000" w:themeColor="text1"/>
          <w:sz w:val="20"/>
        </w:rPr>
      </w:pPr>
    </w:p>
    <w:p w14:paraId="7A590114" w14:textId="166938B8" w:rsidR="004D10DB" w:rsidRPr="00AD2D8D" w:rsidRDefault="004C2996" w:rsidP="005110AE">
      <w:pPr>
        <w:pStyle w:val="ListParagraph"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 xml:space="preserve">Team Member (March 2015 – November 2015), Team Lead (November 2015 – October 2016), </w:t>
      </w:r>
      <w:r w:rsidR="004D10DB" w:rsidRPr="00AD2D8D">
        <w:rPr>
          <w:rFonts w:ascii="Garamond" w:hAnsi="Garamond"/>
          <w:b/>
          <w:color w:val="000000" w:themeColor="text1"/>
          <w:sz w:val="20"/>
        </w:rPr>
        <w:t xml:space="preserve">and </w:t>
      </w:r>
      <w:r w:rsidRPr="00AD2D8D">
        <w:rPr>
          <w:rFonts w:ascii="Garamond" w:hAnsi="Garamond"/>
          <w:b/>
          <w:color w:val="000000" w:themeColor="text1"/>
          <w:sz w:val="20"/>
        </w:rPr>
        <w:t xml:space="preserve">Executive Sponsor </w:t>
      </w:r>
      <w:r w:rsidR="003114C7">
        <w:rPr>
          <w:rFonts w:ascii="Garamond" w:hAnsi="Garamond"/>
          <w:b/>
          <w:color w:val="000000" w:themeColor="text1"/>
          <w:sz w:val="20"/>
        </w:rPr>
        <w:t>(October 2016 – January 2019</w:t>
      </w:r>
      <w:r w:rsidRPr="00AD2D8D">
        <w:rPr>
          <w:rFonts w:ascii="Garamond" w:hAnsi="Garamond"/>
          <w:b/>
          <w:color w:val="000000" w:themeColor="text1"/>
          <w:sz w:val="20"/>
        </w:rPr>
        <w:t>)</w:t>
      </w:r>
      <w:r w:rsidR="004D10DB" w:rsidRPr="00AD2D8D">
        <w:rPr>
          <w:rFonts w:ascii="Garamond" w:hAnsi="Garamond"/>
          <w:b/>
          <w:color w:val="000000" w:themeColor="text1"/>
          <w:sz w:val="20"/>
        </w:rPr>
        <w:t>, Program for the Assessment of Significant Bureau Rules</w:t>
      </w:r>
    </w:p>
    <w:p w14:paraId="7CC17CB6" w14:textId="77777777" w:rsidR="003A0475" w:rsidRDefault="00F91EFC" w:rsidP="003A0475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 xml:space="preserve">Designed and managed, with Division executives, </w:t>
      </w:r>
      <w:r w:rsidR="009D129E" w:rsidRPr="00AD2D8D">
        <w:rPr>
          <w:rFonts w:ascii="Garamond" w:hAnsi="Garamond"/>
          <w:color w:val="000000" w:themeColor="text1"/>
          <w:sz w:val="20"/>
        </w:rPr>
        <w:t>the program for the retrospective review of significant Bureau rules</w:t>
      </w:r>
      <w:r w:rsidR="00772B8A" w:rsidRPr="00AD2D8D">
        <w:rPr>
          <w:rFonts w:ascii="Garamond" w:hAnsi="Garamond"/>
          <w:color w:val="000000" w:themeColor="text1"/>
          <w:sz w:val="20"/>
        </w:rPr>
        <w:t>, as</w:t>
      </w:r>
      <w:r w:rsidR="009D129E" w:rsidRPr="00AD2D8D">
        <w:rPr>
          <w:rFonts w:ascii="Garamond" w:hAnsi="Garamond"/>
          <w:color w:val="000000" w:themeColor="text1"/>
          <w:sz w:val="20"/>
        </w:rPr>
        <w:t xml:space="preserve"> mandated by Dodd-Frank Act section 1022(d) (“A</w:t>
      </w:r>
      <w:r w:rsidR="00772B8A" w:rsidRPr="00AD2D8D">
        <w:rPr>
          <w:rFonts w:ascii="Garamond" w:hAnsi="Garamond"/>
          <w:color w:val="000000" w:themeColor="text1"/>
          <w:sz w:val="20"/>
        </w:rPr>
        <w:t>ssessment</w:t>
      </w:r>
      <w:r w:rsidR="00E37BFF" w:rsidRPr="00AD2D8D">
        <w:rPr>
          <w:rFonts w:ascii="Garamond" w:hAnsi="Garamond"/>
          <w:color w:val="000000" w:themeColor="text1"/>
          <w:sz w:val="20"/>
        </w:rPr>
        <w:t>s</w:t>
      </w:r>
      <w:r w:rsidR="006B24A2" w:rsidRPr="00AD2D8D">
        <w:rPr>
          <w:rFonts w:ascii="Garamond" w:hAnsi="Garamond"/>
          <w:color w:val="000000" w:themeColor="text1"/>
          <w:sz w:val="20"/>
        </w:rPr>
        <w:t>”)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45A5CDBD" w14:textId="77777777" w:rsidR="003A0475" w:rsidRDefault="003A0475" w:rsidP="003A0475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</w:p>
    <w:p w14:paraId="43C44216" w14:textId="5E14D090" w:rsidR="0066283E" w:rsidRDefault="0066283E" w:rsidP="0066283E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Developed the definition of “significant rule” for purposes of retrospective review and a factor test for significant-rule determinations.</w:t>
      </w:r>
    </w:p>
    <w:p w14:paraId="1D764A80" w14:textId="77777777" w:rsidR="0066283E" w:rsidRDefault="0066283E" w:rsidP="0066283E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</w:rPr>
      </w:pPr>
    </w:p>
    <w:p w14:paraId="7BF1B1B5" w14:textId="77777777" w:rsidR="0066283E" w:rsidRDefault="0066283E" w:rsidP="0066283E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66283E">
        <w:rPr>
          <w:rFonts w:ascii="Garamond" w:hAnsi="Garamond"/>
          <w:color w:val="000000" w:themeColor="text1"/>
          <w:sz w:val="20"/>
        </w:rPr>
        <w:lastRenderedPageBreak/>
        <w:t xml:space="preserve">Developed strategic options and recommendations for </w:t>
      </w:r>
      <w:r w:rsidR="003A0475" w:rsidRPr="0066283E">
        <w:rPr>
          <w:rFonts w:ascii="Garamond" w:hAnsi="Garamond"/>
          <w:color w:val="000000" w:themeColor="text1"/>
          <w:sz w:val="20"/>
        </w:rPr>
        <w:t xml:space="preserve">the scope, data collections and metrics </w:t>
      </w:r>
      <w:r w:rsidRPr="0066283E">
        <w:rPr>
          <w:rFonts w:ascii="Garamond" w:hAnsi="Garamond"/>
          <w:color w:val="000000" w:themeColor="text1"/>
          <w:sz w:val="20"/>
        </w:rPr>
        <w:t>for the</w:t>
      </w:r>
      <w:r w:rsidR="003A0475" w:rsidRPr="0066283E">
        <w:rPr>
          <w:rFonts w:ascii="Garamond" w:hAnsi="Garamond"/>
          <w:color w:val="000000" w:themeColor="text1"/>
          <w:sz w:val="20"/>
        </w:rPr>
        <w:t xml:space="preserve"> first three Bureau rules subject to </w:t>
      </w:r>
      <w:r w:rsidRPr="0066283E">
        <w:rPr>
          <w:rFonts w:ascii="Garamond" w:hAnsi="Garamond"/>
          <w:color w:val="000000" w:themeColor="text1"/>
          <w:sz w:val="20"/>
        </w:rPr>
        <w:t>retrospective review:</w:t>
      </w:r>
      <w:r w:rsidR="003A0475" w:rsidRPr="0066283E">
        <w:rPr>
          <w:rFonts w:ascii="Garamond" w:hAnsi="Garamond"/>
          <w:color w:val="000000" w:themeColor="text1"/>
          <w:sz w:val="20"/>
        </w:rPr>
        <w:t xml:space="preserve"> Remittance Transfers, </w:t>
      </w:r>
      <w:r w:rsidR="001A37CA" w:rsidRPr="0066283E">
        <w:rPr>
          <w:rFonts w:ascii="Garamond" w:hAnsi="Garamond"/>
          <w:color w:val="000000" w:themeColor="text1"/>
          <w:sz w:val="20"/>
        </w:rPr>
        <w:t>Mortgage Servicing, and Ability-to-Repay</w:t>
      </w:r>
      <w:r w:rsidRPr="0066283E">
        <w:rPr>
          <w:rFonts w:ascii="Garamond" w:hAnsi="Garamond"/>
          <w:color w:val="000000" w:themeColor="text1"/>
          <w:sz w:val="20"/>
        </w:rPr>
        <w:t xml:space="preserve">. </w:t>
      </w:r>
    </w:p>
    <w:p w14:paraId="3A6E602B" w14:textId="77777777" w:rsidR="0066283E" w:rsidRPr="0066283E" w:rsidRDefault="0066283E" w:rsidP="0066283E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679E4BF0" w14:textId="2ED37DF8" w:rsidR="00AF3DB8" w:rsidRPr="0066283E" w:rsidRDefault="0066283E" w:rsidP="0066283E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 xml:space="preserve">Developed </w:t>
      </w:r>
      <w:r w:rsidR="00260F34" w:rsidRPr="0066283E">
        <w:rPr>
          <w:rFonts w:ascii="Garamond" w:hAnsi="Garamond"/>
          <w:color w:val="000000" w:themeColor="text1"/>
          <w:sz w:val="20"/>
        </w:rPr>
        <w:t>annual work</w:t>
      </w:r>
      <w:r w:rsidR="00845E56" w:rsidRPr="0066283E">
        <w:rPr>
          <w:rFonts w:ascii="Garamond" w:hAnsi="Garamond"/>
          <w:color w:val="000000" w:themeColor="text1"/>
          <w:sz w:val="20"/>
        </w:rPr>
        <w:t xml:space="preserve"> plans and staffing models</w:t>
      </w:r>
      <w:r>
        <w:rPr>
          <w:rFonts w:ascii="Garamond" w:hAnsi="Garamond"/>
          <w:color w:val="000000" w:themeColor="text1"/>
          <w:sz w:val="20"/>
        </w:rPr>
        <w:t xml:space="preserve"> for retrospective reviews and ensured that w</w:t>
      </w:r>
      <w:r w:rsidR="00845E56" w:rsidRPr="0066283E">
        <w:rPr>
          <w:rFonts w:ascii="Garamond" w:hAnsi="Garamond"/>
          <w:color w:val="000000" w:themeColor="text1"/>
          <w:sz w:val="20"/>
        </w:rPr>
        <w:t xml:space="preserve">ork plans and staffing </w:t>
      </w:r>
      <w:r w:rsidR="00260F34" w:rsidRPr="0066283E">
        <w:rPr>
          <w:rFonts w:ascii="Garamond" w:hAnsi="Garamond"/>
          <w:color w:val="000000" w:themeColor="text1"/>
          <w:sz w:val="20"/>
        </w:rPr>
        <w:t xml:space="preserve">were integrated into Bureau </w:t>
      </w:r>
      <w:r>
        <w:rPr>
          <w:rFonts w:ascii="Garamond" w:hAnsi="Garamond"/>
          <w:color w:val="000000" w:themeColor="text1"/>
          <w:sz w:val="20"/>
        </w:rPr>
        <w:t>strategic planning.</w:t>
      </w:r>
    </w:p>
    <w:p w14:paraId="6E14ED8D" w14:textId="77777777" w:rsidR="00AF3DB8" w:rsidRPr="00AD2D8D" w:rsidRDefault="00AF3DB8" w:rsidP="00730F31">
      <w:p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</w:p>
    <w:p w14:paraId="7D1431A6" w14:textId="64A77E74" w:rsidR="00A1072A" w:rsidRPr="0066283E" w:rsidRDefault="0066283E" w:rsidP="0066283E">
      <w:pPr>
        <w:pStyle w:val="ListParagraph"/>
        <w:numPr>
          <w:ilvl w:val="0"/>
          <w:numId w:val="2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66283E">
        <w:rPr>
          <w:rFonts w:ascii="Garamond" w:hAnsi="Garamond"/>
          <w:color w:val="000000" w:themeColor="text1"/>
          <w:sz w:val="20"/>
        </w:rPr>
        <w:t xml:space="preserve">Provided ongoing guidance on the execution of the first three retrospective reviews by serving on the </w:t>
      </w:r>
      <w:r w:rsidR="002B20A5" w:rsidRPr="0066283E">
        <w:rPr>
          <w:rFonts w:ascii="Garamond" w:hAnsi="Garamond"/>
          <w:color w:val="000000" w:themeColor="text1"/>
          <w:sz w:val="20"/>
        </w:rPr>
        <w:t>Steering Committee</w:t>
      </w:r>
      <w:r w:rsidRPr="0066283E">
        <w:rPr>
          <w:rFonts w:ascii="Garamond" w:hAnsi="Garamond"/>
          <w:color w:val="000000" w:themeColor="text1"/>
          <w:sz w:val="20"/>
        </w:rPr>
        <w:t>s for all three reviews.</w:t>
      </w:r>
      <w:r w:rsidR="002B20A5" w:rsidRPr="0066283E">
        <w:rPr>
          <w:rFonts w:ascii="Garamond" w:hAnsi="Garamond"/>
          <w:color w:val="000000" w:themeColor="text1"/>
          <w:sz w:val="20"/>
        </w:rPr>
        <w:t xml:space="preserve"> </w:t>
      </w:r>
    </w:p>
    <w:p w14:paraId="7B2119C3" w14:textId="77777777" w:rsidR="004C20EF" w:rsidRPr="00AD2D8D" w:rsidRDefault="004C20EF" w:rsidP="00030704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06301DF5" w14:textId="3BD85B77" w:rsidR="00A1072A" w:rsidRDefault="00A1072A" w:rsidP="00A1072A">
      <w:pPr>
        <w:pStyle w:val="ListParagraph"/>
        <w:numPr>
          <w:ilvl w:val="0"/>
          <w:numId w:val="2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Represented</w:t>
      </w:r>
      <w:r w:rsidR="00D20393" w:rsidRPr="00AD2D8D">
        <w:rPr>
          <w:rFonts w:ascii="Garamond" w:hAnsi="Garamond"/>
          <w:color w:val="000000" w:themeColor="text1"/>
          <w:sz w:val="20"/>
        </w:rPr>
        <w:t xml:space="preserve"> the Bureau in four engagements with the GAO that covered </w:t>
      </w:r>
      <w:r w:rsidR="001B45A3" w:rsidRPr="00AD2D8D">
        <w:rPr>
          <w:rFonts w:ascii="Garamond" w:hAnsi="Garamond"/>
          <w:color w:val="000000" w:themeColor="text1"/>
          <w:sz w:val="20"/>
        </w:rPr>
        <w:t xml:space="preserve">Assessments or the retrospective review of rules generally </w:t>
      </w:r>
      <w:r w:rsidR="00D20393" w:rsidRPr="00AD2D8D">
        <w:rPr>
          <w:rFonts w:ascii="Garamond" w:hAnsi="Garamond"/>
          <w:color w:val="000000" w:themeColor="text1"/>
          <w:sz w:val="20"/>
        </w:rPr>
        <w:t>(GAO-15-185, GAO-16</w:t>
      </w:r>
      <w:r w:rsidR="00696D2A" w:rsidRPr="00AD2D8D">
        <w:rPr>
          <w:rFonts w:ascii="Garamond" w:hAnsi="Garamond"/>
          <w:color w:val="000000" w:themeColor="text1"/>
          <w:sz w:val="20"/>
        </w:rPr>
        <w:t>-448, GAO-18-213, GAO-19-158)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D20393" w:rsidRPr="00AD2D8D">
        <w:rPr>
          <w:rFonts w:ascii="Garamond" w:hAnsi="Garamond"/>
          <w:color w:val="000000" w:themeColor="text1"/>
          <w:sz w:val="20"/>
        </w:rPr>
        <w:t>Met w</w:t>
      </w:r>
      <w:r w:rsidR="001B45A3" w:rsidRPr="00AD2D8D">
        <w:rPr>
          <w:rFonts w:ascii="Garamond" w:hAnsi="Garamond"/>
          <w:color w:val="000000" w:themeColor="text1"/>
          <w:sz w:val="20"/>
        </w:rPr>
        <w:t xml:space="preserve">ith representatives of the </w:t>
      </w:r>
      <w:r w:rsidR="00696D2A" w:rsidRPr="00AD2D8D">
        <w:rPr>
          <w:rFonts w:ascii="Garamond" w:hAnsi="Garamond"/>
          <w:color w:val="000000" w:themeColor="text1"/>
          <w:sz w:val="20"/>
        </w:rPr>
        <w:t>GAO—in person or over the phone—</w:t>
      </w:r>
      <w:r w:rsidR="001B45A3" w:rsidRPr="00AD2D8D">
        <w:rPr>
          <w:rFonts w:ascii="Garamond" w:hAnsi="Garamond"/>
          <w:color w:val="000000" w:themeColor="text1"/>
          <w:sz w:val="20"/>
        </w:rPr>
        <w:t>at least once for each engagement, from 2015-2018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696D2A" w:rsidRPr="00AD2D8D">
        <w:rPr>
          <w:rFonts w:ascii="Garamond" w:hAnsi="Garamond"/>
          <w:color w:val="000000" w:themeColor="text1"/>
          <w:sz w:val="20"/>
        </w:rPr>
        <w:t>Generally explained the purposes of Assessments, the Bureau process and plans for Assessments, and the role of Assessments in future policy development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42876F0B" w14:textId="77777777" w:rsidR="00030704" w:rsidRPr="00B660FF" w:rsidRDefault="00030704" w:rsidP="00B660FF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726EC127" w14:textId="60E3334A" w:rsidR="001A7A51" w:rsidRPr="00AD2D8D" w:rsidRDefault="000505E2" w:rsidP="00AB16E5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720" w:hanging="274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Senior Economist (May 2011 – November 2013)</w:t>
      </w:r>
    </w:p>
    <w:p w14:paraId="62F2A4EF" w14:textId="248295AD" w:rsidR="001A7A51" w:rsidRPr="00AD2D8D" w:rsidRDefault="001A7A51" w:rsidP="00AB16E5">
      <w:pPr>
        <w:pStyle w:val="ListParagraph"/>
        <w:keepNext/>
        <w:keepLines/>
        <w:numPr>
          <w:ilvl w:val="0"/>
          <w:numId w:val="5"/>
        </w:numPr>
        <w:spacing w:after="0" w:line="240" w:lineRule="auto"/>
        <w:ind w:left="990" w:hanging="274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March 2013 through November 2013, part of a Bureau team </w:t>
      </w:r>
      <w:r w:rsidR="007B54A5" w:rsidRPr="00AD2D8D">
        <w:rPr>
          <w:rFonts w:ascii="Garamond" w:hAnsi="Garamond"/>
          <w:color w:val="000000" w:themeColor="text1"/>
          <w:sz w:val="20"/>
        </w:rPr>
        <w:t>studying the costs of compliance from certain Bureau regulations on consumer deposit accounts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7B54A5" w:rsidRPr="00AD2D8D">
        <w:rPr>
          <w:rFonts w:ascii="Garamond" w:hAnsi="Garamond"/>
          <w:color w:val="000000" w:themeColor="text1"/>
          <w:sz w:val="20"/>
        </w:rPr>
        <w:t xml:space="preserve">Visited five banks across the country, interviewed bank staff and </w:t>
      </w:r>
      <w:r w:rsidR="006E612E" w:rsidRPr="00AD2D8D">
        <w:rPr>
          <w:rFonts w:ascii="Garamond" w:hAnsi="Garamond"/>
          <w:color w:val="000000" w:themeColor="text1"/>
          <w:sz w:val="20"/>
        </w:rPr>
        <w:t>collected data and other information</w:t>
      </w:r>
      <w:r w:rsidR="007B54A5" w:rsidRPr="00AD2D8D">
        <w:rPr>
          <w:rFonts w:ascii="Garamond" w:hAnsi="Garamond"/>
          <w:color w:val="000000" w:themeColor="text1"/>
          <w:sz w:val="20"/>
        </w:rPr>
        <w:t xml:space="preserve">, and helped draft </w:t>
      </w:r>
      <w:r w:rsidR="002B54F4">
        <w:rPr>
          <w:rFonts w:ascii="Garamond" w:hAnsi="Garamond"/>
          <w:color w:val="000000" w:themeColor="text1"/>
          <w:sz w:val="20"/>
        </w:rPr>
        <w:t xml:space="preserve">a </w:t>
      </w:r>
      <w:r w:rsidRPr="00AD2D8D">
        <w:rPr>
          <w:rFonts w:ascii="Garamond" w:hAnsi="Garamond"/>
          <w:color w:val="000000" w:themeColor="text1"/>
          <w:sz w:val="20"/>
        </w:rPr>
        <w:t>portion of the final study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3C5157">
        <w:rPr>
          <w:rFonts w:ascii="Garamond" w:hAnsi="Garamond"/>
          <w:color w:val="000000" w:themeColor="text1"/>
          <w:sz w:val="20"/>
        </w:rPr>
        <w:t xml:space="preserve"> “</w:t>
      </w:r>
      <w:r w:rsidR="00105875" w:rsidRPr="003C5157">
        <w:rPr>
          <w:rFonts w:ascii="Garamond" w:hAnsi="Garamond"/>
          <w:color w:val="000000" w:themeColor="text1"/>
          <w:sz w:val="20"/>
        </w:rPr>
        <w:t>Understanding the Effects of Certain Deposit Regulations on Financial Institutions’ Operations</w:t>
      </w:r>
      <w:r w:rsidR="002B54F4" w:rsidRPr="003C5157">
        <w:rPr>
          <w:rFonts w:ascii="Garamond" w:hAnsi="Garamond"/>
          <w:color w:val="000000" w:themeColor="text1"/>
          <w:sz w:val="20"/>
        </w:rPr>
        <w:t>,</w:t>
      </w:r>
      <w:r w:rsidR="003C5157">
        <w:rPr>
          <w:rFonts w:ascii="Garamond" w:hAnsi="Garamond"/>
          <w:color w:val="000000" w:themeColor="text1"/>
          <w:sz w:val="20"/>
        </w:rPr>
        <w:t xml:space="preserve">” </w:t>
      </w:r>
      <w:r w:rsidR="002B54F4">
        <w:rPr>
          <w:rFonts w:ascii="Garamond" w:hAnsi="Garamond"/>
          <w:color w:val="000000" w:themeColor="text1"/>
          <w:sz w:val="20"/>
        </w:rPr>
        <w:t xml:space="preserve">November 2013, </w:t>
      </w:r>
      <w:r w:rsidR="00105875" w:rsidRPr="00105875">
        <w:rPr>
          <w:rFonts w:ascii="Garamond" w:hAnsi="Garamond"/>
          <w:color w:val="000000" w:themeColor="text1"/>
          <w:sz w:val="20"/>
        </w:rPr>
        <w:t>https://files.consumerfinance.gov/f/201311_cfpb_report_findings-relative-costs.pdf</w:t>
      </w:r>
      <w:r w:rsidR="002B54F4">
        <w:rPr>
          <w:rFonts w:ascii="Garamond" w:hAnsi="Garamond"/>
          <w:color w:val="000000" w:themeColor="text1"/>
          <w:sz w:val="20"/>
        </w:rPr>
        <w:t>.</w:t>
      </w:r>
    </w:p>
    <w:p w14:paraId="5A4AC5B0" w14:textId="77777777" w:rsidR="001A7A51" w:rsidRPr="00AD2D8D" w:rsidRDefault="001A7A51" w:rsidP="00615C8C">
      <w:p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</w:p>
    <w:p w14:paraId="00BB2AC2" w14:textId="12EEA83E" w:rsidR="006E612E" w:rsidRPr="00AD2D8D" w:rsidRDefault="006E612E" w:rsidP="00615C8C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Produced the cost-benefit analyses </w:t>
      </w:r>
      <w:r w:rsidR="007B54A5" w:rsidRPr="00AD2D8D">
        <w:rPr>
          <w:rFonts w:ascii="Garamond" w:hAnsi="Garamond"/>
          <w:color w:val="000000" w:themeColor="text1"/>
          <w:sz w:val="20"/>
        </w:rPr>
        <w:t>required under Dodd-Frank section 1022(b)(2) for the Bureau rule</w:t>
      </w:r>
      <w:r w:rsidRPr="00AD2D8D">
        <w:rPr>
          <w:rFonts w:ascii="Garamond" w:hAnsi="Garamond"/>
          <w:color w:val="000000" w:themeColor="text1"/>
          <w:sz w:val="20"/>
        </w:rPr>
        <w:t xml:space="preserve"> on international consumer remittance transfers (issued January 2012) and </w:t>
      </w:r>
      <w:r w:rsidR="007B54A5" w:rsidRPr="00AD2D8D">
        <w:rPr>
          <w:rFonts w:ascii="Garamond" w:hAnsi="Garamond"/>
          <w:color w:val="000000" w:themeColor="text1"/>
          <w:sz w:val="20"/>
        </w:rPr>
        <w:t xml:space="preserve">the two rules on </w:t>
      </w:r>
      <w:r w:rsidRPr="00AD2D8D">
        <w:rPr>
          <w:rFonts w:ascii="Garamond" w:hAnsi="Garamond"/>
          <w:color w:val="000000" w:themeColor="text1"/>
          <w:sz w:val="20"/>
        </w:rPr>
        <w:t>mortgage loan servicing (</w:t>
      </w:r>
      <w:r w:rsidR="000F5EDB" w:rsidRPr="00AD2D8D">
        <w:rPr>
          <w:rFonts w:ascii="Garamond" w:hAnsi="Garamond"/>
          <w:color w:val="000000" w:themeColor="text1"/>
          <w:sz w:val="20"/>
        </w:rPr>
        <w:t xml:space="preserve">both </w:t>
      </w:r>
      <w:r w:rsidRPr="00AD2D8D">
        <w:rPr>
          <w:rFonts w:ascii="Garamond" w:hAnsi="Garamond"/>
          <w:color w:val="000000" w:themeColor="text1"/>
          <w:sz w:val="20"/>
        </w:rPr>
        <w:t>issued January 2013)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5F4AD759" w14:textId="77777777" w:rsidR="001A7A51" w:rsidRPr="00AD2D8D" w:rsidRDefault="001A7A51" w:rsidP="00615C8C">
      <w:p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</w:p>
    <w:p w14:paraId="6D4DC1ED" w14:textId="166A3AFD" w:rsidR="006E612E" w:rsidRPr="00AD2D8D" w:rsidRDefault="000F5EDB" w:rsidP="000F5EDB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P</w:t>
      </w:r>
      <w:r w:rsidR="006E612E" w:rsidRPr="00AD2D8D">
        <w:rPr>
          <w:rFonts w:ascii="Garamond" w:hAnsi="Garamond"/>
          <w:color w:val="000000" w:themeColor="text1"/>
          <w:sz w:val="20"/>
        </w:rPr>
        <w:t>art of the team that drafted the Bureau’s initial policies and pro</w:t>
      </w:r>
      <w:r w:rsidR="007B54A5" w:rsidRPr="00AD2D8D">
        <w:rPr>
          <w:rFonts w:ascii="Garamond" w:hAnsi="Garamond"/>
          <w:color w:val="000000" w:themeColor="text1"/>
          <w:sz w:val="20"/>
        </w:rPr>
        <w:t>cedures for conducting the cost-</w:t>
      </w:r>
      <w:r w:rsidR="006E612E" w:rsidRPr="00AD2D8D">
        <w:rPr>
          <w:rFonts w:ascii="Garamond" w:hAnsi="Garamond"/>
          <w:color w:val="000000" w:themeColor="text1"/>
          <w:sz w:val="20"/>
        </w:rPr>
        <w:t>bene</w:t>
      </w:r>
      <w:r w:rsidR="007B54A5" w:rsidRPr="00AD2D8D">
        <w:rPr>
          <w:rFonts w:ascii="Garamond" w:hAnsi="Garamond"/>
          <w:color w:val="000000" w:themeColor="text1"/>
          <w:sz w:val="20"/>
        </w:rPr>
        <w:t xml:space="preserve">fit analysis required </w:t>
      </w:r>
      <w:r w:rsidR="006E612E" w:rsidRPr="00AD2D8D">
        <w:rPr>
          <w:rFonts w:ascii="Garamond" w:hAnsi="Garamond"/>
          <w:color w:val="000000" w:themeColor="text1"/>
          <w:sz w:val="20"/>
        </w:rPr>
        <w:t xml:space="preserve">under </w:t>
      </w:r>
      <w:r w:rsidR="007B54A5" w:rsidRPr="00AD2D8D">
        <w:rPr>
          <w:rFonts w:ascii="Garamond" w:hAnsi="Garamond"/>
          <w:color w:val="000000" w:themeColor="text1"/>
          <w:sz w:val="20"/>
        </w:rPr>
        <w:t xml:space="preserve">Dodd-Frank </w:t>
      </w:r>
      <w:r w:rsidR="006E612E" w:rsidRPr="00AD2D8D">
        <w:rPr>
          <w:rFonts w:ascii="Garamond" w:hAnsi="Garamond"/>
          <w:color w:val="000000" w:themeColor="text1"/>
          <w:sz w:val="20"/>
        </w:rPr>
        <w:t>section 1</w:t>
      </w:r>
      <w:r w:rsidRPr="00AD2D8D">
        <w:rPr>
          <w:rFonts w:ascii="Garamond" w:hAnsi="Garamond"/>
          <w:color w:val="000000" w:themeColor="text1"/>
          <w:sz w:val="20"/>
        </w:rPr>
        <w:t>022(b)(2), September 2011 through December 2011.</w:t>
      </w:r>
    </w:p>
    <w:p w14:paraId="661F4390" w14:textId="77777777" w:rsidR="006E612E" w:rsidRPr="00AD2D8D" w:rsidRDefault="006E612E" w:rsidP="00615C8C">
      <w:pPr>
        <w:spacing w:after="0" w:line="240" w:lineRule="auto"/>
        <w:ind w:left="1080" w:hanging="270"/>
        <w:rPr>
          <w:rFonts w:ascii="Garamond" w:hAnsi="Garamond"/>
          <w:color w:val="000000" w:themeColor="text1"/>
          <w:sz w:val="20"/>
        </w:rPr>
      </w:pPr>
    </w:p>
    <w:p w14:paraId="0DEB2AF4" w14:textId="161F51A2" w:rsidR="00315753" w:rsidRDefault="00315753" w:rsidP="00615C8C">
      <w:pPr>
        <w:pStyle w:val="ListParagraph"/>
        <w:numPr>
          <w:ilvl w:val="0"/>
          <w:numId w:val="5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Joined the Bureau as the second economist in the Office of Research</w:t>
      </w:r>
      <w:r w:rsidR="000F5EDB" w:rsidRPr="00AD2D8D">
        <w:rPr>
          <w:rFonts w:ascii="Garamond" w:hAnsi="Garamond"/>
          <w:color w:val="000000" w:themeColor="text1"/>
          <w:sz w:val="20"/>
        </w:rPr>
        <w:t xml:space="preserve"> in May 2011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>Recruited the initial group of eco</w:t>
      </w:r>
      <w:r w:rsidR="0099160F" w:rsidRPr="00AD2D8D">
        <w:rPr>
          <w:rFonts w:ascii="Garamond" w:hAnsi="Garamond"/>
          <w:color w:val="000000" w:themeColor="text1"/>
          <w:sz w:val="20"/>
        </w:rPr>
        <w:t>nomists and suppo</w:t>
      </w:r>
      <w:r w:rsidR="00F97860" w:rsidRPr="00AD2D8D">
        <w:rPr>
          <w:rFonts w:ascii="Garamond" w:hAnsi="Garamond"/>
          <w:color w:val="000000" w:themeColor="text1"/>
          <w:sz w:val="20"/>
        </w:rPr>
        <w:t>rting analysts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F97860" w:rsidRPr="00AD2D8D">
        <w:rPr>
          <w:rFonts w:ascii="Garamond" w:hAnsi="Garamond"/>
          <w:color w:val="000000" w:themeColor="text1"/>
          <w:sz w:val="20"/>
        </w:rPr>
        <w:t>Developed position descr</w:t>
      </w:r>
      <w:r w:rsidR="006E612E" w:rsidRPr="00AD2D8D">
        <w:rPr>
          <w:rFonts w:ascii="Garamond" w:hAnsi="Garamond"/>
          <w:color w:val="000000" w:themeColor="text1"/>
          <w:sz w:val="20"/>
        </w:rPr>
        <w:t xml:space="preserve">iptions and internal policies. </w:t>
      </w:r>
    </w:p>
    <w:p w14:paraId="4A8B6647" w14:textId="77777777" w:rsidR="002108AF" w:rsidRDefault="002108AF" w:rsidP="002108AF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</w:rPr>
      </w:pPr>
    </w:p>
    <w:p w14:paraId="7E5D869E" w14:textId="77777777" w:rsidR="002654C8" w:rsidRPr="00AD2D8D" w:rsidRDefault="00FB0B36" w:rsidP="002108AF">
      <w:pPr>
        <w:pStyle w:val="ListParagraph"/>
        <w:numPr>
          <w:ilvl w:val="0"/>
          <w:numId w:val="7"/>
        </w:numPr>
        <w:spacing w:after="0" w:line="240" w:lineRule="auto"/>
        <w:ind w:left="45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Division of Consumer Protection, US Federal Trade Commission, Washington, DC</w:t>
      </w:r>
    </w:p>
    <w:p w14:paraId="6725A3F7" w14:textId="77777777" w:rsidR="0028710E" w:rsidRPr="00AD2D8D" w:rsidRDefault="0028710E" w:rsidP="002108AF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1BE5FC5C" w14:textId="2AF08D48" w:rsidR="000B2E68" w:rsidRPr="00AD2D8D" w:rsidRDefault="009E1143" w:rsidP="002108AF">
      <w:pPr>
        <w:pStyle w:val="ListParagraph"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Economist (</w:t>
      </w:r>
      <w:r w:rsidR="0099160F" w:rsidRPr="00AD2D8D">
        <w:rPr>
          <w:rFonts w:ascii="Garamond" w:hAnsi="Garamond"/>
          <w:b/>
          <w:color w:val="000000" w:themeColor="text1"/>
          <w:sz w:val="20"/>
        </w:rPr>
        <w:t>GS15-10</w:t>
      </w:r>
      <w:r w:rsidRPr="00AD2D8D">
        <w:rPr>
          <w:rFonts w:ascii="Garamond" w:hAnsi="Garamond"/>
          <w:b/>
          <w:color w:val="000000" w:themeColor="text1"/>
          <w:sz w:val="20"/>
        </w:rPr>
        <w:t>)</w:t>
      </w:r>
      <w:r w:rsidR="0099160F" w:rsidRPr="00AD2D8D">
        <w:rPr>
          <w:rFonts w:ascii="Garamond" w:hAnsi="Garamond"/>
          <w:b/>
          <w:color w:val="000000" w:themeColor="text1"/>
          <w:sz w:val="20"/>
        </w:rPr>
        <w:t xml:space="preserve"> </w:t>
      </w:r>
      <w:r w:rsidR="00FB0B36" w:rsidRPr="00AD2D8D">
        <w:rPr>
          <w:rFonts w:ascii="Garamond" w:hAnsi="Garamond"/>
          <w:b/>
          <w:color w:val="000000" w:themeColor="text1"/>
          <w:sz w:val="20"/>
        </w:rPr>
        <w:t>(July 2008 – May 2011)</w:t>
      </w:r>
    </w:p>
    <w:p w14:paraId="4BC708FC" w14:textId="777185C1" w:rsidR="000F5EDB" w:rsidRDefault="009C1F0C" w:rsidP="002108AF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  <w:szCs w:val="20"/>
        </w:rPr>
      </w:pPr>
      <w:r w:rsidRPr="00AD2D8D">
        <w:rPr>
          <w:rFonts w:ascii="Garamond" w:hAnsi="Garamond"/>
          <w:color w:val="000000" w:themeColor="text1"/>
          <w:sz w:val="20"/>
          <w:szCs w:val="20"/>
        </w:rPr>
        <w:t>Assessed options for estimating costs to consumers</w:t>
      </w:r>
      <w:r w:rsidR="000879FC" w:rsidRPr="00AD2D8D">
        <w:rPr>
          <w:rFonts w:ascii="Garamond" w:hAnsi="Garamond"/>
          <w:color w:val="000000" w:themeColor="text1"/>
          <w:sz w:val="20"/>
          <w:szCs w:val="20"/>
        </w:rPr>
        <w:t xml:space="preserve"> due to </w:t>
      </w:r>
      <w:r w:rsidRPr="00AD2D8D">
        <w:rPr>
          <w:rFonts w:ascii="Garamond" w:hAnsi="Garamond"/>
          <w:color w:val="000000" w:themeColor="text1"/>
          <w:sz w:val="20"/>
          <w:szCs w:val="20"/>
        </w:rPr>
        <w:t>excess fees and charges</w:t>
      </w:r>
      <w:r w:rsidR="000879FC" w:rsidRPr="00AD2D8D">
        <w:rPr>
          <w:rFonts w:ascii="Garamond" w:hAnsi="Garamond"/>
          <w:color w:val="000000" w:themeColor="text1"/>
          <w:sz w:val="20"/>
          <w:szCs w:val="20"/>
        </w:rPr>
        <w:t xml:space="preserve">, and helped estimate these costs, in an enforcement action against Countrywide mortgage servicing </w:t>
      </w:r>
      <w:r w:rsidR="00AA6276" w:rsidRPr="00AD2D8D">
        <w:rPr>
          <w:rFonts w:ascii="Garamond" w:hAnsi="Garamond"/>
          <w:color w:val="000000" w:themeColor="text1"/>
          <w:sz w:val="20"/>
          <w:szCs w:val="20"/>
        </w:rPr>
        <w:t>(</w:t>
      </w:r>
      <w:r w:rsidR="001575CA" w:rsidRPr="00AD2D8D">
        <w:rPr>
          <w:rFonts w:ascii="Garamond" w:hAnsi="Garamond"/>
          <w:color w:val="000000" w:themeColor="text1"/>
          <w:sz w:val="20"/>
          <w:szCs w:val="20"/>
        </w:rPr>
        <w:t>$</w:t>
      </w:r>
      <w:r w:rsidR="009C3559">
        <w:rPr>
          <w:rFonts w:ascii="Garamond" w:hAnsi="Garamond"/>
          <w:color w:val="000000" w:themeColor="text1"/>
          <w:sz w:val="20"/>
          <w:szCs w:val="20"/>
        </w:rPr>
        <w:t>108 million dollar settlement</w:t>
      </w:r>
      <w:r w:rsidR="009B0996" w:rsidRPr="00AD2D8D">
        <w:rPr>
          <w:rFonts w:ascii="Garamond" w:hAnsi="Garamond"/>
          <w:color w:val="000000" w:themeColor="text1"/>
          <w:sz w:val="20"/>
          <w:szCs w:val="20"/>
        </w:rPr>
        <w:t>)</w:t>
      </w:r>
      <w:r w:rsidR="00DB622B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5925451B" w14:textId="77777777" w:rsidR="002108AF" w:rsidRPr="00AD2D8D" w:rsidRDefault="002108AF" w:rsidP="002108AF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  <w:szCs w:val="20"/>
        </w:rPr>
      </w:pPr>
    </w:p>
    <w:p w14:paraId="503C72B8" w14:textId="1EEEBA2F" w:rsidR="00315313" w:rsidRPr="00AD2D8D" w:rsidRDefault="000879FC" w:rsidP="002108AF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  <w:szCs w:val="20"/>
        </w:rPr>
      </w:pPr>
      <w:r w:rsidRPr="00AD2D8D">
        <w:rPr>
          <w:rFonts w:ascii="Garamond" w:hAnsi="Garamond"/>
          <w:color w:val="000000" w:themeColor="text1"/>
          <w:sz w:val="20"/>
          <w:szCs w:val="20"/>
        </w:rPr>
        <w:t xml:space="preserve">Assessed options for estimating costs to consumers due to deceptive business practices, and helped estimate these costs, in an enforcement action against </w:t>
      </w:r>
      <w:r w:rsidR="009B0996" w:rsidRPr="00AD2D8D">
        <w:rPr>
          <w:rFonts w:ascii="Garamond" w:hAnsi="Garamond"/>
          <w:color w:val="000000" w:themeColor="text1"/>
          <w:sz w:val="20"/>
          <w:szCs w:val="20"/>
        </w:rPr>
        <w:t>Li</w:t>
      </w:r>
      <w:r w:rsidR="009C3559">
        <w:rPr>
          <w:rFonts w:ascii="Garamond" w:hAnsi="Garamond"/>
          <w:color w:val="000000" w:themeColor="text1"/>
          <w:sz w:val="20"/>
          <w:szCs w:val="20"/>
        </w:rPr>
        <w:t>feLock ($12 million settlement</w:t>
      </w:r>
      <w:r w:rsidR="000B2E68" w:rsidRPr="00AD2D8D">
        <w:rPr>
          <w:rFonts w:ascii="Garamond" w:hAnsi="Garamond"/>
          <w:color w:val="000000" w:themeColor="text1"/>
          <w:sz w:val="20"/>
          <w:szCs w:val="20"/>
        </w:rPr>
        <w:t>).</w:t>
      </w:r>
    </w:p>
    <w:p w14:paraId="1B74E298" w14:textId="77777777" w:rsidR="00315313" w:rsidRPr="00AD2D8D" w:rsidRDefault="00315313" w:rsidP="002108AF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  <w:szCs w:val="20"/>
        </w:rPr>
      </w:pPr>
    </w:p>
    <w:p w14:paraId="5069A0E9" w14:textId="4F94FD33" w:rsidR="00315313" w:rsidRPr="00AD2D8D" w:rsidRDefault="00130BCB" w:rsidP="002108AF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  <w:szCs w:val="20"/>
        </w:rPr>
      </w:pPr>
      <w:r w:rsidRPr="00AD2D8D">
        <w:rPr>
          <w:rFonts w:ascii="Garamond" w:hAnsi="Garamond"/>
          <w:color w:val="000000" w:themeColor="text1"/>
          <w:sz w:val="20"/>
          <w:szCs w:val="20"/>
        </w:rPr>
        <w:t xml:space="preserve">Provided </w:t>
      </w:r>
      <w:r w:rsidR="00AC7B77" w:rsidRPr="00AD2D8D">
        <w:rPr>
          <w:rFonts w:ascii="Garamond" w:hAnsi="Garamond"/>
          <w:color w:val="000000" w:themeColor="text1"/>
          <w:sz w:val="20"/>
          <w:szCs w:val="20"/>
        </w:rPr>
        <w:t>economic analysis of the potenti</w:t>
      </w:r>
      <w:r w:rsidR="001A0213" w:rsidRPr="00AD2D8D">
        <w:rPr>
          <w:rFonts w:ascii="Garamond" w:hAnsi="Garamond"/>
          <w:color w:val="000000" w:themeColor="text1"/>
          <w:sz w:val="20"/>
          <w:szCs w:val="20"/>
        </w:rPr>
        <w:t xml:space="preserve">al benefits and costs to consumers, firms and </w:t>
      </w:r>
      <w:r w:rsidR="009E1143" w:rsidRPr="00AD2D8D">
        <w:rPr>
          <w:rFonts w:ascii="Garamond" w:hAnsi="Garamond"/>
          <w:color w:val="000000" w:themeColor="text1"/>
          <w:sz w:val="20"/>
          <w:szCs w:val="20"/>
        </w:rPr>
        <w:t>markets in</w:t>
      </w:r>
      <w:r w:rsidR="001A0213" w:rsidRPr="00AD2D8D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9967FB" w:rsidRPr="00AD2D8D">
        <w:rPr>
          <w:rFonts w:ascii="Garamond" w:hAnsi="Garamond"/>
          <w:color w:val="000000" w:themeColor="text1"/>
          <w:sz w:val="20"/>
          <w:szCs w:val="20"/>
        </w:rPr>
        <w:t xml:space="preserve">numerous other </w:t>
      </w:r>
      <w:r w:rsidR="001A0213" w:rsidRPr="00AD2D8D">
        <w:rPr>
          <w:rFonts w:ascii="Garamond" w:hAnsi="Garamond"/>
          <w:color w:val="000000" w:themeColor="text1"/>
          <w:sz w:val="20"/>
          <w:szCs w:val="20"/>
        </w:rPr>
        <w:t xml:space="preserve">enforcement actions for </w:t>
      </w:r>
      <w:r w:rsidR="006C6A76" w:rsidRPr="00AD2D8D">
        <w:rPr>
          <w:rFonts w:ascii="Garamond" w:hAnsi="Garamond"/>
          <w:color w:val="000000" w:themeColor="text1"/>
          <w:sz w:val="20"/>
          <w:szCs w:val="20"/>
        </w:rPr>
        <w:t xml:space="preserve">violations </w:t>
      </w:r>
      <w:r w:rsidR="000F5EDB" w:rsidRPr="00AD2D8D">
        <w:rPr>
          <w:rFonts w:ascii="Garamond" w:hAnsi="Garamond"/>
          <w:color w:val="000000" w:themeColor="text1"/>
          <w:sz w:val="20"/>
          <w:szCs w:val="20"/>
        </w:rPr>
        <w:t xml:space="preserve">of </w:t>
      </w:r>
      <w:r w:rsidR="000879FC" w:rsidRPr="00AD2D8D">
        <w:rPr>
          <w:rFonts w:ascii="Garamond" w:hAnsi="Garamond"/>
          <w:color w:val="000000" w:themeColor="text1"/>
          <w:sz w:val="20"/>
          <w:szCs w:val="20"/>
        </w:rPr>
        <w:t>the Fair Credit Reporting Act, the Credi</w:t>
      </w:r>
      <w:r w:rsidR="000F5EDB" w:rsidRPr="00AD2D8D">
        <w:rPr>
          <w:rFonts w:ascii="Garamond" w:hAnsi="Garamond"/>
          <w:color w:val="000000" w:themeColor="text1"/>
          <w:sz w:val="20"/>
          <w:szCs w:val="20"/>
        </w:rPr>
        <w:t>t Repair Organizations Act, and the FTC Act.</w:t>
      </w:r>
    </w:p>
    <w:p w14:paraId="6E2594FE" w14:textId="77777777" w:rsidR="00315313" w:rsidRPr="00AD2D8D" w:rsidRDefault="00315313" w:rsidP="002108AF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  <w:szCs w:val="20"/>
        </w:rPr>
      </w:pPr>
    </w:p>
    <w:p w14:paraId="35EB9482" w14:textId="4DE2E67C" w:rsidR="00315313" w:rsidRPr="00AD2D8D" w:rsidRDefault="001B555B" w:rsidP="002108AF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  <w:szCs w:val="20"/>
        </w:rPr>
      </w:pPr>
      <w:r w:rsidRPr="00AD2D8D">
        <w:rPr>
          <w:rFonts w:ascii="Garamond" w:hAnsi="Garamond"/>
          <w:color w:val="000000" w:themeColor="text1"/>
          <w:sz w:val="20"/>
          <w:szCs w:val="20"/>
        </w:rPr>
        <w:t xml:space="preserve">Drafted, with one co-author, a </w:t>
      </w:r>
      <w:r w:rsidR="009E1143" w:rsidRPr="00AD2D8D">
        <w:rPr>
          <w:rFonts w:ascii="Garamond" w:hAnsi="Garamond"/>
          <w:color w:val="000000" w:themeColor="text1"/>
          <w:sz w:val="20"/>
          <w:szCs w:val="20"/>
        </w:rPr>
        <w:t>2010 report to Congress describing a methodology fo</w:t>
      </w:r>
      <w:r w:rsidR="00130BCB" w:rsidRPr="00AD2D8D">
        <w:rPr>
          <w:rFonts w:ascii="Garamond" w:hAnsi="Garamond"/>
          <w:color w:val="000000" w:themeColor="text1"/>
          <w:sz w:val="20"/>
          <w:szCs w:val="20"/>
        </w:rPr>
        <w:t xml:space="preserve">r researching </w:t>
      </w:r>
      <w:r w:rsidRPr="00AD2D8D">
        <w:rPr>
          <w:rFonts w:ascii="Garamond" w:hAnsi="Garamond"/>
          <w:color w:val="000000" w:themeColor="text1"/>
          <w:sz w:val="20"/>
          <w:szCs w:val="20"/>
        </w:rPr>
        <w:t xml:space="preserve">the accuracy of consumer reports </w:t>
      </w:r>
      <w:r w:rsidR="000879FC" w:rsidRPr="00AD2D8D">
        <w:rPr>
          <w:rFonts w:ascii="Garamond" w:hAnsi="Garamond"/>
          <w:color w:val="000000" w:themeColor="text1"/>
          <w:sz w:val="20"/>
          <w:szCs w:val="20"/>
        </w:rPr>
        <w:t>and</w:t>
      </w:r>
      <w:r w:rsidR="000F5EDB" w:rsidRPr="00AD2D8D">
        <w:rPr>
          <w:rFonts w:ascii="Garamond" w:hAnsi="Garamond"/>
          <w:color w:val="000000" w:themeColor="text1"/>
          <w:sz w:val="20"/>
          <w:szCs w:val="20"/>
        </w:rPr>
        <w:t xml:space="preserve"> the consumer harm from errors i</w:t>
      </w:r>
      <w:r w:rsidR="009C3559">
        <w:rPr>
          <w:rFonts w:ascii="Garamond" w:hAnsi="Garamond"/>
          <w:color w:val="000000" w:themeColor="text1"/>
          <w:sz w:val="20"/>
          <w:szCs w:val="20"/>
        </w:rPr>
        <w:t>n credit reports</w:t>
      </w:r>
      <w:r w:rsidR="00DB622B">
        <w:rPr>
          <w:rFonts w:ascii="Garamond" w:hAnsi="Garamond"/>
          <w:color w:val="000000" w:themeColor="text1"/>
          <w:sz w:val="20"/>
          <w:szCs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  <w:szCs w:val="20"/>
        </w:rPr>
        <w:t xml:space="preserve">Developed the statistical sampling methodology and helped develop the privacy methodology </w:t>
      </w:r>
      <w:r w:rsidR="00130BCB" w:rsidRPr="00AD2D8D">
        <w:rPr>
          <w:rFonts w:ascii="Garamond" w:hAnsi="Garamond"/>
          <w:color w:val="000000" w:themeColor="text1"/>
          <w:sz w:val="20"/>
          <w:szCs w:val="20"/>
        </w:rPr>
        <w:t>used in the field research</w:t>
      </w:r>
      <w:r w:rsidR="004856C2" w:rsidRPr="00AD2D8D">
        <w:rPr>
          <w:rFonts w:ascii="Garamond" w:hAnsi="Garamond"/>
          <w:color w:val="000000" w:themeColor="text1"/>
          <w:sz w:val="20"/>
          <w:szCs w:val="20"/>
        </w:rPr>
        <w:t xml:space="preserve">, the results of which were </w:t>
      </w:r>
      <w:r w:rsidR="00130BCB" w:rsidRPr="00AD2D8D">
        <w:rPr>
          <w:rFonts w:ascii="Garamond" w:hAnsi="Garamond"/>
          <w:color w:val="000000" w:themeColor="text1"/>
          <w:sz w:val="20"/>
          <w:szCs w:val="20"/>
        </w:rPr>
        <w:t xml:space="preserve">presented in the </w:t>
      </w:r>
      <w:r w:rsidR="009C3559">
        <w:rPr>
          <w:rFonts w:ascii="Garamond" w:hAnsi="Garamond"/>
          <w:color w:val="000000" w:themeColor="text1"/>
          <w:sz w:val="20"/>
          <w:szCs w:val="20"/>
        </w:rPr>
        <w:t>2012 report to Congress</w:t>
      </w:r>
      <w:r w:rsidRPr="00AD2D8D">
        <w:rPr>
          <w:rFonts w:ascii="Garamond" w:hAnsi="Garamond"/>
          <w:color w:val="000000" w:themeColor="text1"/>
          <w:sz w:val="20"/>
          <w:szCs w:val="20"/>
        </w:rPr>
        <w:t>.</w:t>
      </w:r>
    </w:p>
    <w:p w14:paraId="34055E32" w14:textId="77777777" w:rsidR="00315313" w:rsidRPr="00AD2D8D" w:rsidRDefault="00315313" w:rsidP="002108AF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2A61F0A" w14:textId="77777777" w:rsidR="00315313" w:rsidRPr="00AD2D8D" w:rsidRDefault="009E22D4" w:rsidP="002108AF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  <w:szCs w:val="20"/>
        </w:rPr>
      </w:pPr>
      <w:r w:rsidRPr="00AD2D8D">
        <w:rPr>
          <w:rFonts w:ascii="Garamond" w:hAnsi="Garamond"/>
          <w:color w:val="000000" w:themeColor="text1"/>
          <w:sz w:val="20"/>
          <w:szCs w:val="20"/>
        </w:rPr>
        <w:t xml:space="preserve">Co-organizer of </w:t>
      </w:r>
      <w:r w:rsidR="00086359" w:rsidRPr="00AD2D8D">
        <w:rPr>
          <w:rFonts w:ascii="Garamond" w:hAnsi="Garamond"/>
          <w:color w:val="000000" w:themeColor="text1"/>
          <w:sz w:val="20"/>
          <w:szCs w:val="20"/>
        </w:rPr>
        <w:t>the 2009, 2010 and 2011 annual FTC-Northwestern University Microeconomics Conference.</w:t>
      </w:r>
    </w:p>
    <w:p w14:paraId="4CFB73E3" w14:textId="77777777" w:rsidR="00315313" w:rsidRPr="00AD2D8D" w:rsidRDefault="00315313" w:rsidP="002108AF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  <w:szCs w:val="20"/>
        </w:rPr>
      </w:pPr>
    </w:p>
    <w:p w14:paraId="7E5D86AB" w14:textId="4A0195F4" w:rsidR="00AA6276" w:rsidRPr="00AD2D8D" w:rsidRDefault="0099160F" w:rsidP="002108AF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  <w:szCs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Represented the FTC as an advisor in consumer protection during a one-week mission to the </w:t>
      </w:r>
      <w:r w:rsidR="00AA6276" w:rsidRPr="00AD2D8D">
        <w:rPr>
          <w:rFonts w:ascii="Garamond" w:hAnsi="Garamond"/>
          <w:color w:val="000000" w:themeColor="text1"/>
          <w:sz w:val="20"/>
        </w:rPr>
        <w:t>Superinten</w:t>
      </w:r>
      <w:r w:rsidR="00086359" w:rsidRPr="00AD2D8D">
        <w:rPr>
          <w:rFonts w:ascii="Garamond" w:hAnsi="Garamond"/>
          <w:color w:val="000000" w:themeColor="text1"/>
          <w:sz w:val="20"/>
        </w:rPr>
        <w:t>dencia d</w:t>
      </w:r>
      <w:r w:rsidRPr="00AD2D8D">
        <w:rPr>
          <w:rFonts w:ascii="Garamond" w:hAnsi="Garamond"/>
          <w:color w:val="000000" w:themeColor="text1"/>
          <w:sz w:val="20"/>
        </w:rPr>
        <w:t>e Industria y Comercio in Bogota, Colombia.</w:t>
      </w:r>
    </w:p>
    <w:p w14:paraId="7E5D86AD" w14:textId="054EDA65" w:rsidR="00FB0B36" w:rsidRPr="00AD2D8D" w:rsidRDefault="00FB0B36" w:rsidP="00B41BD0">
      <w:pPr>
        <w:pStyle w:val="ListParagraph"/>
        <w:keepNext/>
        <w:keepLines/>
        <w:numPr>
          <w:ilvl w:val="0"/>
          <w:numId w:val="7"/>
        </w:numPr>
        <w:spacing w:after="0" w:line="240" w:lineRule="auto"/>
        <w:ind w:left="45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lastRenderedPageBreak/>
        <w:t>Washington University in St. Louis, St. Louis, MO</w:t>
      </w:r>
    </w:p>
    <w:p w14:paraId="3D1D0CF7" w14:textId="77777777" w:rsidR="00717EBE" w:rsidRPr="00AD2D8D" w:rsidRDefault="00717EBE" w:rsidP="00E154F7">
      <w:pPr>
        <w:keepNext/>
        <w:keepLines/>
        <w:spacing w:after="0" w:line="240" w:lineRule="auto"/>
        <w:ind w:firstLine="720"/>
        <w:rPr>
          <w:rFonts w:ascii="Garamond" w:hAnsi="Garamond"/>
          <w:b/>
          <w:color w:val="000000" w:themeColor="text1"/>
          <w:sz w:val="20"/>
        </w:rPr>
      </w:pPr>
    </w:p>
    <w:p w14:paraId="7E671E6A" w14:textId="6B66A32C" w:rsidR="00717EBE" w:rsidRPr="00AD2D8D" w:rsidRDefault="00717EBE" w:rsidP="00B41BD0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Department of Economics, Assistant Professor (July 1988 – June 1994) and tenured Associate Professor (July 1994-June 2008)</w:t>
      </w:r>
    </w:p>
    <w:p w14:paraId="05359276" w14:textId="30AF05A8" w:rsidR="00BB1A56" w:rsidRPr="00AD2D8D" w:rsidRDefault="00717EBE" w:rsidP="00BB1A56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Conducted independent and original research in economics and public policy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>Published work on the estimation of consumer demand for local public goods, the financing of local public education, and the theory of federal and regional spending and taxation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>Published fifteen refereed papers and five additional papers in professional journals.</w:t>
      </w:r>
    </w:p>
    <w:p w14:paraId="07B1D2DB" w14:textId="77777777" w:rsidR="00BB1A56" w:rsidRPr="00AD2D8D" w:rsidRDefault="00BB1A56" w:rsidP="00BB1A56">
      <w:pPr>
        <w:pStyle w:val="ListParagraph"/>
        <w:keepNext/>
        <w:keepLines/>
        <w:spacing w:after="0" w:line="240" w:lineRule="auto"/>
        <w:ind w:left="990"/>
        <w:rPr>
          <w:rFonts w:ascii="Garamond" w:hAnsi="Garamond"/>
          <w:color w:val="000000" w:themeColor="text1"/>
          <w:sz w:val="20"/>
        </w:rPr>
      </w:pPr>
    </w:p>
    <w:p w14:paraId="7C10D0CB" w14:textId="77777777" w:rsidR="00BB1A56" w:rsidRPr="00AD2D8D" w:rsidRDefault="00717EBE" w:rsidP="00BB1A56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Communicated research findings as an invited speaker at professional conferences and university seminars.</w:t>
      </w:r>
    </w:p>
    <w:p w14:paraId="6B8E8E33" w14:textId="77777777" w:rsidR="00BB1A56" w:rsidRPr="00AD2D8D" w:rsidRDefault="00BB1A56" w:rsidP="00BB1A56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344CD513" w14:textId="4768DE69" w:rsidR="00BB1A56" w:rsidRPr="00AD2D8D" w:rsidRDefault="00717EBE" w:rsidP="00BB1A56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Served on twenty-one doctoral committees and mentored these students toward the successful completion of their dissertations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>These individuals work in governments and universities all over the world.</w:t>
      </w:r>
    </w:p>
    <w:p w14:paraId="7719E5FF" w14:textId="77777777" w:rsidR="00BB1A56" w:rsidRPr="00AD2D8D" w:rsidRDefault="00BB1A56" w:rsidP="00BB1A56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3EE2739C" w14:textId="4F7C6069" w:rsidR="00BB1A56" w:rsidRPr="00AD2D8D" w:rsidRDefault="00391FED" w:rsidP="00BB1A56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Developed, taught and managed </w:t>
      </w:r>
      <w:r w:rsidR="00717EBE" w:rsidRPr="00AD2D8D">
        <w:rPr>
          <w:rFonts w:ascii="Garamond" w:hAnsi="Garamond"/>
          <w:color w:val="000000" w:themeColor="text1"/>
          <w:sz w:val="20"/>
        </w:rPr>
        <w:t xml:space="preserve">the </w:t>
      </w:r>
      <w:r w:rsidRPr="00AD2D8D">
        <w:rPr>
          <w:rFonts w:ascii="Garamond" w:hAnsi="Garamond"/>
          <w:color w:val="000000" w:themeColor="text1"/>
          <w:sz w:val="20"/>
        </w:rPr>
        <w:t>teaching assistants for three graduate courses and five undergraduate courses, each taught many times, with class sizes ranging from five to two-hundred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 xml:space="preserve">Central topics included the theory of markets, the role of public policy, the balance between federal and state policy, cost-benefit analysis, and the measurement of consumer welfare. </w:t>
      </w:r>
    </w:p>
    <w:p w14:paraId="343CA8E4" w14:textId="77777777" w:rsidR="00BB1A56" w:rsidRPr="00AD2D8D" w:rsidRDefault="00BB1A56" w:rsidP="00BB1A56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5CFEC114" w14:textId="108FFB52" w:rsidR="00BB1A56" w:rsidRPr="00AD2D8D" w:rsidRDefault="00391FED" w:rsidP="00BB1A56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Regularly reviewed, edited, and commented on the work of other professional economists as a journal referee (approximately 100 reports), conference discussant, and faculty colleague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64F5142A" w14:textId="77777777" w:rsidR="00BB1A56" w:rsidRPr="00AD2D8D" w:rsidRDefault="00BB1A56" w:rsidP="00BB1A56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3C8B698F" w14:textId="34420CE2" w:rsidR="00717EBE" w:rsidRPr="00AD2D8D" w:rsidRDefault="00427B9B" w:rsidP="00BB1A56">
      <w:pPr>
        <w:pStyle w:val="ListParagraph"/>
        <w:keepNext/>
        <w:keepLines/>
        <w:numPr>
          <w:ilvl w:val="0"/>
          <w:numId w:val="9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Served as Director of graduate a</w:t>
      </w:r>
      <w:r w:rsidR="00862F0A" w:rsidRPr="00AD2D8D">
        <w:rPr>
          <w:rFonts w:ascii="Garamond" w:hAnsi="Garamond"/>
          <w:color w:val="000000" w:themeColor="text1"/>
          <w:sz w:val="20"/>
        </w:rPr>
        <w:t xml:space="preserve">dmissions </w:t>
      </w:r>
      <w:r w:rsidR="00D85127" w:rsidRPr="00AD2D8D">
        <w:rPr>
          <w:rFonts w:ascii="Garamond" w:hAnsi="Garamond"/>
          <w:color w:val="000000" w:themeColor="text1"/>
          <w:sz w:val="20"/>
        </w:rPr>
        <w:t>(1996-99 and 2000-01), member of the senior faculty recruiting committee (</w:t>
      </w:r>
      <w:r w:rsidRPr="00AD2D8D">
        <w:rPr>
          <w:rFonts w:ascii="Garamond" w:hAnsi="Garamond"/>
          <w:color w:val="000000" w:themeColor="text1"/>
          <w:sz w:val="20"/>
        </w:rPr>
        <w:t xml:space="preserve">2005-06), and member of the junior faculty recruiting committee (2006-07). </w:t>
      </w:r>
      <w:r w:rsidR="00717EBE" w:rsidRPr="00AD2D8D">
        <w:rPr>
          <w:rFonts w:ascii="Garamond" w:hAnsi="Garamond"/>
          <w:color w:val="000000" w:themeColor="text1"/>
          <w:sz w:val="20"/>
        </w:rPr>
        <w:t>In 2004, co-chaired an interdisciplinary university committee to address questions that arose during University re-accreditation.</w:t>
      </w:r>
    </w:p>
    <w:p w14:paraId="7E5D86BC" w14:textId="698649F6" w:rsidR="00BF727B" w:rsidRPr="00AD2D8D" w:rsidRDefault="00BF727B" w:rsidP="00E12CB3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489E4D05" w14:textId="77777777" w:rsidR="00E12CB3" w:rsidRPr="00AD2D8D" w:rsidRDefault="00E12CB3" w:rsidP="00764023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Associate Director, Murray Weidenbaum Center on the Economy, Government and Public Policy (January 2001 – June 2008)</w:t>
      </w:r>
    </w:p>
    <w:p w14:paraId="6A1C2162" w14:textId="3EC893B3" w:rsidR="00764023" w:rsidRPr="00AD2D8D" w:rsidRDefault="006E24E5" w:rsidP="00764023">
      <w:pPr>
        <w:pStyle w:val="ListParagraph"/>
        <w:keepNext/>
        <w:keepLines/>
        <w:numPr>
          <w:ilvl w:val="0"/>
          <w:numId w:val="10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Collaborated with the Director of the Center to transform an existing </w:t>
      </w:r>
      <w:r w:rsidR="00015B80" w:rsidRPr="00AD2D8D">
        <w:rPr>
          <w:rFonts w:ascii="Garamond" w:hAnsi="Garamond"/>
          <w:color w:val="000000" w:themeColor="text1"/>
          <w:sz w:val="20"/>
        </w:rPr>
        <w:t>center</w:t>
      </w:r>
      <w:r w:rsidR="004D0F3B" w:rsidRPr="00AD2D8D">
        <w:rPr>
          <w:rFonts w:ascii="Garamond" w:hAnsi="Garamond"/>
          <w:color w:val="000000" w:themeColor="text1"/>
          <w:sz w:val="20"/>
        </w:rPr>
        <w:t xml:space="preserve"> </w:t>
      </w:r>
      <w:r w:rsidRPr="00AD2D8D">
        <w:rPr>
          <w:rFonts w:ascii="Garamond" w:hAnsi="Garamond"/>
          <w:color w:val="000000" w:themeColor="text1"/>
          <w:sz w:val="20"/>
        </w:rPr>
        <w:t xml:space="preserve">into a leading sponsor of </w:t>
      </w:r>
      <w:r w:rsidR="004D0F3B" w:rsidRPr="00AD2D8D">
        <w:rPr>
          <w:rFonts w:ascii="Garamond" w:hAnsi="Garamond"/>
          <w:color w:val="000000" w:themeColor="text1"/>
          <w:sz w:val="20"/>
        </w:rPr>
        <w:t xml:space="preserve">University </w:t>
      </w:r>
      <w:r w:rsidRPr="00AD2D8D">
        <w:rPr>
          <w:rFonts w:ascii="Garamond" w:hAnsi="Garamond"/>
          <w:color w:val="000000" w:themeColor="text1"/>
          <w:sz w:val="20"/>
        </w:rPr>
        <w:t>research in economics and pol</w:t>
      </w:r>
      <w:r w:rsidR="004D0F3B" w:rsidRPr="00AD2D8D">
        <w:rPr>
          <w:rFonts w:ascii="Garamond" w:hAnsi="Garamond"/>
          <w:color w:val="000000" w:themeColor="text1"/>
          <w:sz w:val="20"/>
        </w:rPr>
        <w:t>itical science and a sponsor of public engagement with research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>Helped redefine the roles and responsibilities of the remaining staff (4 people) to support the new mission.</w:t>
      </w:r>
    </w:p>
    <w:p w14:paraId="400F55E4" w14:textId="77777777" w:rsidR="00764023" w:rsidRPr="00AD2D8D" w:rsidRDefault="00764023" w:rsidP="00764023">
      <w:pPr>
        <w:pStyle w:val="ListParagraph"/>
        <w:keepNext/>
        <w:keepLines/>
        <w:spacing w:after="0" w:line="240" w:lineRule="auto"/>
        <w:ind w:left="990"/>
        <w:rPr>
          <w:rFonts w:ascii="Garamond" w:hAnsi="Garamond"/>
          <w:color w:val="000000" w:themeColor="text1"/>
          <w:sz w:val="20"/>
        </w:rPr>
      </w:pPr>
    </w:p>
    <w:p w14:paraId="40D410F5" w14:textId="77777777" w:rsidR="00764023" w:rsidRPr="00AD2D8D" w:rsidRDefault="00C93CD3" w:rsidP="00764023">
      <w:pPr>
        <w:pStyle w:val="ListParagraph"/>
        <w:keepNext/>
        <w:keepLines/>
        <w:numPr>
          <w:ilvl w:val="0"/>
          <w:numId w:val="10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Regularly communicated the vision and progress of the </w:t>
      </w:r>
      <w:r w:rsidR="00E12CB3" w:rsidRPr="00AD2D8D">
        <w:rPr>
          <w:rFonts w:ascii="Garamond" w:hAnsi="Garamond"/>
          <w:color w:val="000000" w:themeColor="text1"/>
          <w:sz w:val="20"/>
        </w:rPr>
        <w:t xml:space="preserve">Weidenbaum </w:t>
      </w:r>
      <w:r w:rsidRPr="00AD2D8D">
        <w:rPr>
          <w:rFonts w:ascii="Garamond" w:hAnsi="Garamond"/>
          <w:color w:val="000000" w:themeColor="text1"/>
          <w:sz w:val="20"/>
        </w:rPr>
        <w:t>Center to University leadership, University faculty and major donors.</w:t>
      </w:r>
    </w:p>
    <w:p w14:paraId="3B3E6E67" w14:textId="77777777" w:rsidR="00764023" w:rsidRPr="00AD2D8D" w:rsidRDefault="00764023" w:rsidP="00764023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71F4D259" w14:textId="77777777" w:rsidR="00764023" w:rsidRPr="00AD2D8D" w:rsidRDefault="009668FB" w:rsidP="00764023">
      <w:pPr>
        <w:pStyle w:val="ListParagraph"/>
        <w:keepNext/>
        <w:keepLines/>
        <w:numPr>
          <w:ilvl w:val="0"/>
          <w:numId w:val="10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Collaborated with the Director </w:t>
      </w:r>
      <w:r w:rsidR="00E12CB3" w:rsidRPr="00AD2D8D">
        <w:rPr>
          <w:rFonts w:ascii="Garamond" w:hAnsi="Garamond"/>
          <w:color w:val="000000" w:themeColor="text1"/>
          <w:sz w:val="20"/>
        </w:rPr>
        <w:t xml:space="preserve">of the Center </w:t>
      </w:r>
      <w:r w:rsidRPr="00AD2D8D">
        <w:rPr>
          <w:rFonts w:ascii="Garamond" w:hAnsi="Garamond"/>
          <w:color w:val="000000" w:themeColor="text1"/>
          <w:sz w:val="20"/>
        </w:rPr>
        <w:t>in allocating over $125,000 annually in</w:t>
      </w:r>
      <w:r w:rsidR="00C93CD3" w:rsidRPr="00AD2D8D">
        <w:rPr>
          <w:rFonts w:ascii="Garamond" w:hAnsi="Garamond"/>
          <w:color w:val="000000" w:themeColor="text1"/>
          <w:sz w:val="20"/>
        </w:rPr>
        <w:t xml:space="preserve"> research grants to faculty in Economics and Political S</w:t>
      </w:r>
      <w:r w:rsidRPr="00AD2D8D">
        <w:rPr>
          <w:rFonts w:ascii="Garamond" w:hAnsi="Garamond"/>
          <w:color w:val="000000" w:themeColor="text1"/>
          <w:sz w:val="20"/>
        </w:rPr>
        <w:t>cience.</w:t>
      </w:r>
    </w:p>
    <w:p w14:paraId="3F807E8F" w14:textId="77777777" w:rsidR="00764023" w:rsidRPr="00AD2D8D" w:rsidRDefault="00764023" w:rsidP="00764023">
      <w:pPr>
        <w:pStyle w:val="ListParagraph"/>
        <w:rPr>
          <w:rFonts w:ascii="Garamond" w:hAnsi="Garamond"/>
          <w:color w:val="000000" w:themeColor="text1"/>
          <w:sz w:val="20"/>
        </w:rPr>
      </w:pPr>
    </w:p>
    <w:p w14:paraId="396C1180" w14:textId="24B353D2" w:rsidR="006E24E5" w:rsidRPr="00AD2D8D" w:rsidRDefault="009668FB" w:rsidP="00764023">
      <w:pPr>
        <w:pStyle w:val="ListParagraph"/>
        <w:keepNext/>
        <w:keepLines/>
        <w:numPr>
          <w:ilvl w:val="0"/>
          <w:numId w:val="10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Collaborated with the Director of </w:t>
      </w:r>
      <w:r w:rsidR="00E12CB3" w:rsidRPr="00AD2D8D">
        <w:rPr>
          <w:rFonts w:ascii="Garamond" w:hAnsi="Garamond"/>
          <w:color w:val="000000" w:themeColor="text1"/>
          <w:sz w:val="20"/>
        </w:rPr>
        <w:t xml:space="preserve">Center </w:t>
      </w:r>
      <w:r w:rsidRPr="00AD2D8D">
        <w:rPr>
          <w:rFonts w:ascii="Garamond" w:hAnsi="Garamond"/>
          <w:color w:val="000000" w:themeColor="text1"/>
          <w:sz w:val="20"/>
        </w:rPr>
        <w:t xml:space="preserve">Programs in designing and managing ten </w:t>
      </w:r>
      <w:r w:rsidR="00342EF8" w:rsidRPr="00AD2D8D">
        <w:rPr>
          <w:rFonts w:ascii="Garamond" w:hAnsi="Garamond"/>
          <w:color w:val="000000" w:themeColor="text1"/>
          <w:sz w:val="20"/>
        </w:rPr>
        <w:t xml:space="preserve">day-long </w:t>
      </w:r>
      <w:r w:rsidRPr="00AD2D8D">
        <w:rPr>
          <w:rFonts w:ascii="Garamond" w:hAnsi="Garamond"/>
          <w:color w:val="000000" w:themeColor="text1"/>
          <w:sz w:val="20"/>
        </w:rPr>
        <w:t xml:space="preserve">conferences </w:t>
      </w:r>
      <w:r w:rsidR="00015B80" w:rsidRPr="00AD2D8D">
        <w:rPr>
          <w:rFonts w:ascii="Garamond" w:hAnsi="Garamond"/>
          <w:color w:val="000000" w:themeColor="text1"/>
          <w:sz w:val="20"/>
        </w:rPr>
        <w:t xml:space="preserve">for the general public </w:t>
      </w:r>
      <w:r w:rsidRPr="00AD2D8D">
        <w:rPr>
          <w:rFonts w:ascii="Garamond" w:hAnsi="Garamond"/>
          <w:color w:val="000000" w:themeColor="text1"/>
          <w:sz w:val="20"/>
        </w:rPr>
        <w:t>on topics ranging from Medicaid financing, the use of excise taxes to influence consumer behavior, the economics of urban sprawl, and the economics of pub</w:t>
      </w:r>
      <w:r w:rsidR="006E24E5" w:rsidRPr="00AD2D8D">
        <w:rPr>
          <w:rFonts w:ascii="Garamond" w:hAnsi="Garamond"/>
          <w:color w:val="000000" w:themeColor="text1"/>
          <w:sz w:val="20"/>
        </w:rPr>
        <w:t>lic education.</w:t>
      </w:r>
    </w:p>
    <w:p w14:paraId="406AC948" w14:textId="77777777" w:rsidR="006E24E5" w:rsidRPr="00AD2D8D" w:rsidRDefault="006E24E5" w:rsidP="006E24E5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</w:p>
    <w:p w14:paraId="7E5D86CA" w14:textId="3EBFD2E1" w:rsidR="006D296C" w:rsidRPr="00AD2D8D" w:rsidRDefault="009607EF" w:rsidP="00764023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Economics Coordinator, University College (July 1999 – June 2005)</w:t>
      </w:r>
    </w:p>
    <w:p w14:paraId="5985A0C0" w14:textId="0A861F16" w:rsidR="00764023" w:rsidRPr="00AD2D8D" w:rsidRDefault="001C59C8" w:rsidP="00764023">
      <w:pPr>
        <w:pStyle w:val="ListParagraph"/>
        <w:numPr>
          <w:ilvl w:val="0"/>
          <w:numId w:val="11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Collaborated with economists at the Federal Reserve Bank of St. Louis in designing and implementing a five course certificate program in financial ser</w:t>
      </w:r>
      <w:r w:rsidR="00015B80" w:rsidRPr="00AD2D8D">
        <w:rPr>
          <w:rFonts w:ascii="Garamond" w:hAnsi="Garamond"/>
          <w:color w:val="000000" w:themeColor="text1"/>
          <w:sz w:val="20"/>
        </w:rPr>
        <w:t xml:space="preserve">vices for </w:t>
      </w:r>
      <w:r w:rsidRPr="00AD2D8D">
        <w:rPr>
          <w:rFonts w:ascii="Garamond" w:hAnsi="Garamond"/>
          <w:color w:val="000000" w:themeColor="text1"/>
          <w:sz w:val="20"/>
        </w:rPr>
        <w:t>the evening division of Washington University</w:t>
      </w:r>
      <w:r w:rsidR="00015B80" w:rsidRPr="00AD2D8D">
        <w:rPr>
          <w:rFonts w:ascii="Garamond" w:hAnsi="Garamond"/>
          <w:color w:val="000000" w:themeColor="text1"/>
          <w:sz w:val="20"/>
        </w:rPr>
        <w:t xml:space="preserve"> (“University College”)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Pr="00AD2D8D">
        <w:rPr>
          <w:rFonts w:ascii="Garamond" w:hAnsi="Garamond"/>
          <w:color w:val="000000" w:themeColor="text1"/>
          <w:sz w:val="20"/>
        </w:rPr>
        <w:t>Recruited a diverse staff of Bank economists, community practitioners, University faculty and graduate students and oversaw their performance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956C4F8" w14:textId="77777777" w:rsidR="00764023" w:rsidRPr="00AD2D8D" w:rsidRDefault="00764023" w:rsidP="00764023">
      <w:pPr>
        <w:pStyle w:val="ListParagraph"/>
        <w:spacing w:after="0" w:line="240" w:lineRule="auto"/>
        <w:ind w:left="990"/>
        <w:rPr>
          <w:rFonts w:ascii="Garamond" w:hAnsi="Garamond"/>
          <w:color w:val="000000" w:themeColor="text1"/>
          <w:sz w:val="20"/>
        </w:rPr>
      </w:pPr>
    </w:p>
    <w:p w14:paraId="7DC101F7" w14:textId="7674C92D" w:rsidR="00DD4EAA" w:rsidRPr="00AD2D8D" w:rsidRDefault="001C59C8" w:rsidP="00764023">
      <w:pPr>
        <w:pStyle w:val="ListParagraph"/>
        <w:numPr>
          <w:ilvl w:val="0"/>
          <w:numId w:val="11"/>
        </w:numPr>
        <w:spacing w:after="0" w:line="240" w:lineRule="auto"/>
        <w:ind w:left="99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After 3 years, grew the offerings and enrollment from approximately five classes with six students each to eight classes with twelve students each.</w:t>
      </w:r>
    </w:p>
    <w:p w14:paraId="2996234F" w14:textId="77777777" w:rsidR="001C59C8" w:rsidRPr="00AD2D8D" w:rsidRDefault="001C59C8" w:rsidP="001C59C8">
      <w:pPr>
        <w:spacing w:after="0" w:line="240" w:lineRule="auto"/>
        <w:ind w:left="720"/>
        <w:rPr>
          <w:rFonts w:ascii="Garamond" w:hAnsi="Garamond"/>
          <w:color w:val="000000" w:themeColor="text1"/>
          <w:sz w:val="20"/>
        </w:rPr>
      </w:pPr>
    </w:p>
    <w:p w14:paraId="7E5D86D0" w14:textId="70E78AB4" w:rsidR="006D296C" w:rsidRPr="00AD2D8D" w:rsidRDefault="006D296C" w:rsidP="00C80419">
      <w:pPr>
        <w:pStyle w:val="ListParagraph"/>
        <w:keepNext/>
        <w:keepLines/>
        <w:numPr>
          <w:ilvl w:val="0"/>
          <w:numId w:val="7"/>
        </w:numPr>
        <w:spacing w:after="0" w:line="240" w:lineRule="auto"/>
        <w:ind w:left="450" w:hanging="27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lastRenderedPageBreak/>
        <w:t>Department of Economics, University of Texas at Austin, Austin, TX</w:t>
      </w:r>
    </w:p>
    <w:p w14:paraId="5411438A" w14:textId="77777777" w:rsidR="006E24E5" w:rsidRPr="00AD2D8D" w:rsidRDefault="006E24E5" w:rsidP="00C80419">
      <w:pPr>
        <w:keepNext/>
        <w:keepLines/>
        <w:spacing w:after="0" w:line="240" w:lineRule="auto"/>
        <w:ind w:left="720"/>
        <w:rPr>
          <w:rFonts w:ascii="Garamond" w:hAnsi="Garamond"/>
          <w:b/>
          <w:color w:val="000000" w:themeColor="text1"/>
          <w:sz w:val="20"/>
        </w:rPr>
      </w:pPr>
    </w:p>
    <w:p w14:paraId="7E5D86D1" w14:textId="77777777" w:rsidR="006D296C" w:rsidRPr="00AD2D8D" w:rsidRDefault="006D296C" w:rsidP="00C80419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720" w:hanging="270"/>
        <w:rPr>
          <w:rFonts w:ascii="Garamond" w:hAnsi="Garamond"/>
          <w:b/>
          <w:color w:val="000000" w:themeColor="text1"/>
          <w:sz w:val="20"/>
        </w:rPr>
      </w:pPr>
      <w:r w:rsidRPr="00AD2D8D">
        <w:rPr>
          <w:rFonts w:ascii="Garamond" w:hAnsi="Garamond"/>
          <w:b/>
          <w:color w:val="000000" w:themeColor="text1"/>
          <w:sz w:val="20"/>
        </w:rPr>
        <w:t>Instructor of Economics with courtesy appointment in the Department of Government (July 1987 – June 1988)</w:t>
      </w:r>
    </w:p>
    <w:p w14:paraId="2E859B96" w14:textId="77777777" w:rsidR="006E24E5" w:rsidRPr="00AD2D8D" w:rsidRDefault="006E24E5" w:rsidP="00C80419">
      <w:pPr>
        <w:keepNext/>
        <w:keepLines/>
        <w:spacing w:after="0" w:line="240" w:lineRule="auto"/>
        <w:ind w:left="720"/>
        <w:rPr>
          <w:rFonts w:ascii="Garamond" w:hAnsi="Garamond"/>
          <w:bCs/>
          <w:color w:val="000000" w:themeColor="text1"/>
          <w:sz w:val="20"/>
        </w:rPr>
      </w:pPr>
    </w:p>
    <w:p w14:paraId="02418223" w14:textId="77777777" w:rsidR="006E24E5" w:rsidRPr="00AD2D8D" w:rsidRDefault="006E24E5" w:rsidP="00C80419">
      <w:pPr>
        <w:pStyle w:val="ListParagraph"/>
        <w:keepNext/>
        <w:keepLines/>
        <w:numPr>
          <w:ilvl w:val="0"/>
          <w:numId w:val="12"/>
        </w:numPr>
        <w:spacing w:after="0" w:line="240" w:lineRule="auto"/>
        <w:ind w:left="990" w:hanging="270"/>
        <w:rPr>
          <w:rFonts w:ascii="Garamond" w:hAnsi="Garamond"/>
          <w:bCs/>
          <w:color w:val="000000" w:themeColor="text1"/>
          <w:sz w:val="20"/>
        </w:rPr>
      </w:pPr>
      <w:r w:rsidRPr="00AD2D8D">
        <w:rPr>
          <w:rFonts w:ascii="Garamond" w:hAnsi="Garamond"/>
          <w:bCs/>
          <w:color w:val="000000" w:themeColor="text1"/>
          <w:sz w:val="20"/>
        </w:rPr>
        <w:t>Taught graduate and undergraduate public sector economics, prepared dissertation chapters for submission.</w:t>
      </w:r>
    </w:p>
    <w:p w14:paraId="56AE92C5" w14:textId="77777777" w:rsidR="006E24E5" w:rsidRPr="00AD2D8D" w:rsidRDefault="006E24E5" w:rsidP="006D296C">
      <w:pPr>
        <w:spacing w:after="0" w:line="240" w:lineRule="auto"/>
        <w:ind w:left="720"/>
        <w:rPr>
          <w:rFonts w:ascii="Garamond" w:hAnsi="Garamond"/>
          <w:bCs/>
          <w:color w:val="000000" w:themeColor="text1"/>
          <w:sz w:val="20"/>
        </w:rPr>
      </w:pPr>
    </w:p>
    <w:p w14:paraId="7E5D86D3" w14:textId="77777777" w:rsidR="009D5D10" w:rsidRPr="00AD2D8D" w:rsidRDefault="009D5D10" w:rsidP="002654C8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Temporary Positions</w:t>
      </w:r>
    </w:p>
    <w:p w14:paraId="7E5D86D4" w14:textId="77777777" w:rsidR="009D5D10" w:rsidRPr="00AD2D8D" w:rsidRDefault="009D5D10" w:rsidP="009D5D10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Visiting Associate Professor, Department of Economics, Duke University, Durham, NC (July 2007 – June 2008).</w:t>
      </w:r>
    </w:p>
    <w:p w14:paraId="7E5D86D5" w14:textId="77777777" w:rsidR="009D5D10" w:rsidRPr="00AD2D8D" w:rsidRDefault="009D5D10" w:rsidP="009D5D10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D6" w14:textId="77777777" w:rsidR="009D5D10" w:rsidRPr="00AD2D8D" w:rsidRDefault="009D5D10" w:rsidP="009D5D10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Visiting Associate Professor, W. Allen Wallis Institute of Political Economy, University of Rochester, Rochester, NY (January 1995 – June 1995).</w:t>
      </w:r>
    </w:p>
    <w:p w14:paraId="7E5D86D7" w14:textId="77777777" w:rsidR="009D5D10" w:rsidRPr="00AD2D8D" w:rsidRDefault="009D5D10" w:rsidP="009D5D10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1AAD5C38" w14:textId="07B7997A" w:rsidR="0099332B" w:rsidRDefault="009D5D10" w:rsidP="0099332B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Post-doctoral Fellow in Political Economy, Graduate School of Industrial Administration, Carnegie-Mellon University, Pittsburgh, PA (July 1989 – June 1990).</w:t>
      </w:r>
    </w:p>
    <w:p w14:paraId="6D3CBE61" w14:textId="77777777" w:rsidR="0099332B" w:rsidRDefault="0099332B" w:rsidP="0099332B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2DA6379C" w14:textId="77777777" w:rsidR="0099332B" w:rsidRPr="00AD2D8D" w:rsidRDefault="0099332B" w:rsidP="0099332B">
      <w:pPr>
        <w:spacing w:after="0" w:line="240" w:lineRule="auto"/>
        <w:rPr>
          <w:rFonts w:ascii="Garamond" w:hAnsi="Garamond"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Professional Recognition</w:t>
      </w:r>
      <w:r w:rsidRPr="00AD2D8D">
        <w:rPr>
          <w:rFonts w:ascii="Garamond" w:hAnsi="Garamond"/>
          <w:smallCaps/>
          <w:color w:val="000000" w:themeColor="text1"/>
          <w:sz w:val="24"/>
          <w:szCs w:val="26"/>
        </w:rPr>
        <w:t xml:space="preserve"> </w:t>
      </w:r>
    </w:p>
    <w:p w14:paraId="19C583B4" w14:textId="4E0D9D37" w:rsidR="00CA07B7" w:rsidRDefault="00CA07B7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CFPB Director’s Mission Achievement Award for excellence in leadership, 2019.</w:t>
      </w:r>
    </w:p>
    <w:p w14:paraId="495A437E" w14:textId="77777777" w:rsidR="00CA07B7" w:rsidRDefault="00CA07B7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</w:p>
    <w:p w14:paraId="5CB02CBE" w14:textId="4A8FFD8A" w:rsidR="0099332B" w:rsidRDefault="0099332B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 xml:space="preserve">CFPB </w:t>
      </w:r>
      <w:r w:rsidRPr="00676785">
        <w:rPr>
          <w:rFonts w:ascii="Garamond" w:hAnsi="Garamond"/>
          <w:color w:val="000000" w:themeColor="text1"/>
          <w:sz w:val="20"/>
        </w:rPr>
        <w:t xml:space="preserve">Superior Achievement Award for </w:t>
      </w:r>
      <w:r w:rsidR="00CA07B7">
        <w:rPr>
          <w:rFonts w:ascii="Garamond" w:hAnsi="Garamond"/>
          <w:color w:val="000000" w:themeColor="text1"/>
          <w:sz w:val="20"/>
        </w:rPr>
        <w:t>exceptional accomplishment</w:t>
      </w:r>
      <w:r w:rsidRPr="00676785">
        <w:rPr>
          <w:rFonts w:ascii="Garamond" w:hAnsi="Garamond"/>
          <w:color w:val="000000" w:themeColor="text1"/>
          <w:sz w:val="20"/>
        </w:rPr>
        <w:t>, 2019.</w:t>
      </w:r>
      <w:r>
        <w:rPr>
          <w:rFonts w:ascii="Garamond" w:hAnsi="Garamond"/>
          <w:color w:val="000000" w:themeColor="text1"/>
          <w:sz w:val="20"/>
        </w:rPr>
        <w:t xml:space="preserve"> </w:t>
      </w:r>
    </w:p>
    <w:p w14:paraId="64154579" w14:textId="77777777" w:rsidR="0099332B" w:rsidRDefault="0099332B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</w:p>
    <w:p w14:paraId="6DB16364" w14:textId="77777777" w:rsidR="0099332B" w:rsidRPr="00AD2D8D" w:rsidRDefault="0099332B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Washington University Graduate Student Senate Award for Graduate Student Mentoring, 2001.</w:t>
      </w:r>
    </w:p>
    <w:p w14:paraId="1F171F3B" w14:textId="77777777" w:rsidR="0099332B" w:rsidRDefault="0099332B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</w:p>
    <w:p w14:paraId="4E607464" w14:textId="0C84F770" w:rsidR="0099332B" w:rsidRPr="00AD2D8D" w:rsidRDefault="0099332B" w:rsidP="0099332B">
      <w:pPr>
        <w:spacing w:after="0" w:line="240" w:lineRule="auto"/>
        <w:ind w:firstLine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National Tax Association Annual Dissertation Competition., second place prize winner, 1989</w:t>
      </w:r>
      <w:r>
        <w:rPr>
          <w:rFonts w:ascii="Garamond" w:hAnsi="Garamond"/>
          <w:color w:val="000000" w:themeColor="text1"/>
          <w:sz w:val="20"/>
        </w:rPr>
        <w:t xml:space="preserve">. </w:t>
      </w:r>
    </w:p>
    <w:p w14:paraId="7E5D86D9" w14:textId="77777777" w:rsidR="009D5D10" w:rsidRPr="00AD2D8D" w:rsidRDefault="009D5D10" w:rsidP="002654C8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7E5D86DA" w14:textId="77777777" w:rsidR="00E72482" w:rsidRPr="00AD2D8D" w:rsidRDefault="00A17391" w:rsidP="00E72482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Publications and Official Reports</w:t>
      </w:r>
    </w:p>
    <w:p w14:paraId="22D2C930" w14:textId="66A07B8B" w:rsidR="004652D9" w:rsidRDefault="004652D9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 xml:space="preserve">“The Analysis of Benefits in Consumer Protection Regulations” (with Howell E. Jackson), </w:t>
      </w:r>
      <w:r w:rsidRPr="004652D9">
        <w:rPr>
          <w:rFonts w:ascii="Garamond" w:hAnsi="Garamond"/>
          <w:i/>
          <w:color w:val="000000" w:themeColor="text1"/>
          <w:sz w:val="20"/>
        </w:rPr>
        <w:t>Harvard Business Law Review</w:t>
      </w:r>
      <w:r>
        <w:rPr>
          <w:rFonts w:ascii="Garamond" w:hAnsi="Garamond"/>
          <w:color w:val="000000" w:themeColor="text1"/>
          <w:sz w:val="20"/>
        </w:rPr>
        <w:t xml:space="preserve">, </w:t>
      </w:r>
      <w:r w:rsidR="001D7F8C">
        <w:rPr>
          <w:rFonts w:ascii="Garamond" w:hAnsi="Garamond"/>
          <w:color w:val="000000" w:themeColor="text1"/>
          <w:sz w:val="20"/>
        </w:rPr>
        <w:t>Vol. 9,</w:t>
      </w:r>
      <w:r w:rsidR="00173711">
        <w:rPr>
          <w:rFonts w:ascii="Garamond" w:hAnsi="Garamond"/>
          <w:color w:val="000000" w:themeColor="text1"/>
          <w:sz w:val="20"/>
        </w:rPr>
        <w:t xml:space="preserve"> </w:t>
      </w:r>
      <w:r w:rsidR="001D7F8C">
        <w:rPr>
          <w:rFonts w:ascii="Garamond" w:hAnsi="Garamond"/>
          <w:color w:val="000000" w:themeColor="text1"/>
          <w:sz w:val="20"/>
        </w:rPr>
        <w:t>2020, pp. 197</w:t>
      </w:r>
      <w:r w:rsidR="005A0B5B">
        <w:rPr>
          <w:rFonts w:ascii="Garamond" w:hAnsi="Garamond"/>
          <w:color w:val="000000" w:themeColor="text1"/>
          <w:sz w:val="20"/>
        </w:rPr>
        <w:t>-321.</w:t>
      </w:r>
    </w:p>
    <w:p w14:paraId="565F570D" w14:textId="77777777" w:rsidR="004652D9" w:rsidRDefault="004652D9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DB" w14:textId="0B7D0617" w:rsidR="00E72482" w:rsidRPr="00AD2D8D" w:rsidRDefault="001E465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014A02" w:rsidRPr="00AD2D8D">
        <w:rPr>
          <w:rFonts w:ascii="Garamond" w:hAnsi="Garamond"/>
          <w:color w:val="000000" w:themeColor="text1"/>
          <w:sz w:val="20"/>
        </w:rPr>
        <w:t>Consumer Financial Protection,”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 Chapter 18 in Steven Payson (ed.),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 xml:space="preserve">Public </w:t>
      </w:r>
      <w:r w:rsidR="00014A02" w:rsidRPr="00AD2D8D">
        <w:rPr>
          <w:rFonts w:ascii="Garamond" w:hAnsi="Garamond"/>
          <w:i/>
          <w:color w:val="000000" w:themeColor="text1"/>
          <w:sz w:val="20"/>
        </w:rPr>
        <w:t xml:space="preserve">Economics in the United States:  How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The Federal Government</w:t>
      </w:r>
      <w:r w:rsidR="00014A02" w:rsidRPr="00AD2D8D">
        <w:rPr>
          <w:rFonts w:ascii="Garamond" w:hAnsi="Garamond"/>
          <w:i/>
          <w:color w:val="000000" w:themeColor="text1"/>
          <w:sz w:val="20"/>
        </w:rPr>
        <w:t xml:space="preserve">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Analyzes and Influences the Economy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, 2014, Praeger/ABC-CLIO Publishers, pp. 445-472. </w:t>
      </w:r>
    </w:p>
    <w:p w14:paraId="7E5D86DC" w14:textId="77777777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DD" w14:textId="06E670ED" w:rsidR="00014A02" w:rsidRPr="00AD2D8D" w:rsidRDefault="00014A02" w:rsidP="00EB1C4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Report to Congress Under Secti</w:t>
      </w:r>
      <w:r w:rsidRPr="00AD2D8D">
        <w:rPr>
          <w:rFonts w:ascii="Garamond" w:hAnsi="Garamond"/>
          <w:color w:val="000000" w:themeColor="text1"/>
          <w:sz w:val="20"/>
        </w:rPr>
        <w:t xml:space="preserve">on 319 of the Fair and Accurate </w:t>
      </w:r>
      <w:r w:rsidR="00E72482" w:rsidRPr="00AD2D8D">
        <w:rPr>
          <w:rFonts w:ascii="Garamond" w:hAnsi="Garamond"/>
          <w:color w:val="000000" w:themeColor="text1"/>
          <w:sz w:val="20"/>
        </w:rPr>
        <w:t>Credit Transactions Act of 2003</w:t>
      </w:r>
      <w:r w:rsidRPr="00AD2D8D">
        <w:rPr>
          <w:rFonts w:ascii="Garamond" w:hAnsi="Garamond"/>
          <w:color w:val="000000" w:themeColor="text1"/>
          <w:sz w:val="20"/>
        </w:rPr>
        <w:t>” (listed contributor), December 2012, U. S. Federal Trade Commi</w:t>
      </w:r>
      <w:r w:rsidR="00EB1C45" w:rsidRPr="00AD2D8D">
        <w:rPr>
          <w:rFonts w:ascii="Garamond" w:hAnsi="Garamond"/>
          <w:color w:val="000000" w:themeColor="text1"/>
          <w:sz w:val="20"/>
        </w:rPr>
        <w:t>ssion.</w:t>
      </w:r>
    </w:p>
    <w:p w14:paraId="7E5D86DE" w14:textId="77777777" w:rsidR="00014A02" w:rsidRPr="00AD2D8D" w:rsidRDefault="00E7248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 </w:t>
      </w:r>
    </w:p>
    <w:p w14:paraId="7E5D86DF" w14:textId="77777777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A Review of Food Marketi</w:t>
      </w:r>
      <w:r w:rsidRPr="00AD2D8D">
        <w:rPr>
          <w:rFonts w:ascii="Garamond" w:hAnsi="Garamond"/>
          <w:color w:val="000000" w:themeColor="text1"/>
          <w:sz w:val="20"/>
        </w:rPr>
        <w:t xml:space="preserve">ng to Children and Adolescents, </w:t>
      </w:r>
      <w:r w:rsidR="00E72482" w:rsidRPr="00AD2D8D">
        <w:rPr>
          <w:rFonts w:ascii="Garamond" w:hAnsi="Garamond"/>
          <w:color w:val="000000" w:themeColor="text1"/>
          <w:sz w:val="20"/>
        </w:rPr>
        <w:t>F</w:t>
      </w:r>
      <w:r w:rsidRPr="00AD2D8D">
        <w:rPr>
          <w:rFonts w:ascii="Garamond" w:hAnsi="Garamond"/>
          <w:color w:val="000000" w:themeColor="text1"/>
          <w:sz w:val="20"/>
        </w:rPr>
        <w:t>ollow-Up Report'”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 (list</w:t>
      </w:r>
      <w:r w:rsidRPr="00AD2D8D">
        <w:rPr>
          <w:rFonts w:ascii="Garamond" w:hAnsi="Garamond"/>
          <w:color w:val="000000" w:themeColor="text1"/>
          <w:sz w:val="20"/>
        </w:rPr>
        <w:t>ed contributor), December 2012.</w:t>
      </w:r>
    </w:p>
    <w:p w14:paraId="7E5D86E1" w14:textId="13D55862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2" w14:textId="21D19F92" w:rsidR="00E72482" w:rsidRPr="00AD2D8D" w:rsidRDefault="00014A02" w:rsidP="00EB1C4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Report to Congress Under Sectio</w:t>
      </w:r>
      <w:r w:rsidRPr="00AD2D8D">
        <w:rPr>
          <w:rFonts w:ascii="Garamond" w:hAnsi="Garamond"/>
          <w:color w:val="000000" w:themeColor="text1"/>
          <w:sz w:val="20"/>
        </w:rPr>
        <w:t xml:space="preserve">n 319 of the Fair and Accurate </w:t>
      </w:r>
      <w:r w:rsidR="00E72482" w:rsidRPr="00AD2D8D">
        <w:rPr>
          <w:rFonts w:ascii="Garamond" w:hAnsi="Garamond"/>
          <w:color w:val="000000" w:themeColor="text1"/>
          <w:sz w:val="20"/>
        </w:rPr>
        <w:t>Credit Transactions Act of 2003</w:t>
      </w:r>
      <w:r w:rsidR="007B16F8" w:rsidRPr="00AD2D8D">
        <w:rPr>
          <w:rFonts w:ascii="Garamond" w:hAnsi="Garamond"/>
          <w:color w:val="000000" w:themeColor="text1"/>
          <w:sz w:val="20"/>
        </w:rPr>
        <w:t>”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 </w:t>
      </w:r>
      <w:r w:rsidRPr="00AD2D8D">
        <w:rPr>
          <w:rFonts w:ascii="Garamond" w:hAnsi="Garamond"/>
          <w:color w:val="000000" w:themeColor="text1"/>
          <w:sz w:val="20"/>
        </w:rPr>
        <w:t>(listed with Peter Vande</w:t>
      </w:r>
      <w:r w:rsidR="00EB1C45" w:rsidRPr="00AD2D8D">
        <w:rPr>
          <w:rFonts w:ascii="Garamond" w:hAnsi="Garamond"/>
          <w:color w:val="000000" w:themeColor="text1"/>
          <w:sz w:val="20"/>
        </w:rPr>
        <w:t xml:space="preserve">r Nat), December 2010. </w:t>
      </w:r>
    </w:p>
    <w:p w14:paraId="7E5D86E3" w14:textId="77777777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4" w14:textId="3AAEB39C" w:rsidR="00E7248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“Commentary” (on “States in Fiscal Distress” by Robert Inman),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Regional Economic Development</w:t>
      </w:r>
      <w:r w:rsidR="00CF2965" w:rsidRPr="00AD2D8D">
        <w:rPr>
          <w:rFonts w:ascii="Garamond" w:hAnsi="Garamond"/>
          <w:color w:val="000000" w:themeColor="text1"/>
          <w:sz w:val="20"/>
        </w:rPr>
        <w:t>, Vol 6, 2010, pp. 81-</w:t>
      </w:r>
      <w:r w:rsidR="00E72482" w:rsidRPr="00AD2D8D">
        <w:rPr>
          <w:rFonts w:ascii="Garamond" w:hAnsi="Garamond"/>
          <w:color w:val="000000" w:themeColor="text1"/>
          <w:sz w:val="20"/>
        </w:rPr>
        <w:t>87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6E5" w14:textId="77777777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6" w14:textId="77777777" w:rsidR="00E7248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Discontinuous Payoffs, Shared Resources, an</w:t>
      </w:r>
      <w:r w:rsidRPr="00AD2D8D">
        <w:rPr>
          <w:rFonts w:ascii="Garamond" w:hAnsi="Garamond"/>
          <w:color w:val="000000" w:themeColor="text1"/>
          <w:sz w:val="20"/>
        </w:rPr>
        <w:t xml:space="preserve">d Games of Fiscal Competition:  Existence of Pure Strategy Nash Equilibrium,”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Journal of Public Economic Theory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, Vol. 9, 2007, pp. 335-368. </w:t>
      </w:r>
    </w:p>
    <w:p w14:paraId="7E5D86E7" w14:textId="77777777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8" w14:textId="7042E6C3" w:rsidR="00E7248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Transferable Tax Credits in M</w:t>
      </w:r>
      <w:r w:rsidRPr="00AD2D8D">
        <w:rPr>
          <w:rFonts w:ascii="Garamond" w:hAnsi="Garamond"/>
          <w:color w:val="000000" w:themeColor="text1"/>
          <w:sz w:val="20"/>
        </w:rPr>
        <w:t xml:space="preserve">issouri:  An Analytical Review” </w:t>
      </w:r>
      <w:r w:rsidR="00E72482" w:rsidRPr="00AD2D8D">
        <w:rPr>
          <w:rFonts w:ascii="Garamond" w:hAnsi="Garamond"/>
          <w:color w:val="000000" w:themeColor="text1"/>
          <w:sz w:val="20"/>
        </w:rPr>
        <w:t>(with Nathan Wineinger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 xml:space="preserve">), </w:t>
      </w:r>
      <w:r w:rsidRPr="00AD2D8D">
        <w:rPr>
          <w:rFonts w:ascii="Garamond" w:hAnsi="Garamond"/>
          <w:i/>
          <w:color w:val="000000" w:themeColor="text1"/>
          <w:sz w:val="20"/>
        </w:rPr>
        <w:t xml:space="preserve">Regional Economic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Development</w:t>
      </w:r>
      <w:r w:rsidRPr="00AD2D8D">
        <w:rPr>
          <w:rFonts w:ascii="Garamond" w:hAnsi="Garamond"/>
          <w:color w:val="000000" w:themeColor="text1"/>
          <w:sz w:val="20"/>
        </w:rPr>
        <w:t xml:space="preserve">, </w:t>
      </w:r>
      <w:r w:rsidR="00E72482" w:rsidRPr="00AD2D8D">
        <w:rPr>
          <w:rFonts w:ascii="Garamond" w:hAnsi="Garamond"/>
          <w:color w:val="000000" w:themeColor="text1"/>
          <w:sz w:val="20"/>
        </w:rPr>
        <w:t>Vol. 3, 2007, pp. 53-74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 </w:t>
      </w:r>
    </w:p>
    <w:p w14:paraId="7E5D86E9" w14:textId="77777777" w:rsidR="00014A0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A" w14:textId="5E5857F3" w:rsidR="00E72482" w:rsidRPr="00AD2D8D" w:rsidRDefault="00014A02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“The ‘</w:t>
      </w:r>
      <w:r w:rsidR="00E72482" w:rsidRPr="00AD2D8D">
        <w:rPr>
          <w:rFonts w:ascii="Garamond" w:hAnsi="Garamond"/>
          <w:color w:val="000000" w:themeColor="text1"/>
          <w:sz w:val="20"/>
        </w:rPr>
        <w:t>T</w:t>
      </w:r>
      <w:r w:rsidRPr="00AD2D8D">
        <w:rPr>
          <w:rFonts w:ascii="Garamond" w:hAnsi="Garamond"/>
          <w:color w:val="000000" w:themeColor="text1"/>
          <w:sz w:val="20"/>
        </w:rPr>
        <w:t xml:space="preserve">akings’ of Prosperity?  Kelo v. </w:t>
      </w:r>
      <w:r w:rsidR="00E72482" w:rsidRPr="00AD2D8D">
        <w:rPr>
          <w:rFonts w:ascii="Garamond" w:hAnsi="Garamond"/>
          <w:color w:val="000000" w:themeColor="text1"/>
          <w:sz w:val="20"/>
        </w:rPr>
        <w:t>New London and the Economics of Emi</w:t>
      </w:r>
      <w:r w:rsidRPr="00AD2D8D">
        <w:rPr>
          <w:rFonts w:ascii="Garamond" w:hAnsi="Garamond"/>
          <w:color w:val="000000" w:themeColor="text1"/>
          <w:sz w:val="20"/>
        </w:rPr>
        <w:t>nent Domain”</w:t>
      </w:r>
      <w:r w:rsidR="004C1E04" w:rsidRPr="00AD2D8D">
        <w:rPr>
          <w:rFonts w:ascii="Garamond" w:hAnsi="Garamond"/>
          <w:color w:val="000000" w:themeColor="text1"/>
          <w:sz w:val="20"/>
        </w:rPr>
        <w:t xml:space="preserve"> (with Tom Garrett),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The Regional Economist</w:t>
      </w:r>
      <w:r w:rsidRPr="00AD2D8D">
        <w:rPr>
          <w:rFonts w:ascii="Garamond" w:hAnsi="Garamond"/>
          <w:color w:val="000000" w:themeColor="text1"/>
          <w:sz w:val="20"/>
        </w:rPr>
        <w:t xml:space="preserve">, </w:t>
      </w:r>
      <w:r w:rsidR="00E72482" w:rsidRPr="00AD2D8D">
        <w:rPr>
          <w:rFonts w:ascii="Garamond" w:hAnsi="Garamond"/>
          <w:color w:val="000000" w:themeColor="text1"/>
          <w:sz w:val="20"/>
        </w:rPr>
        <w:t>January 2007, pp. 5-9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6EB" w14:textId="77777777" w:rsidR="00985DF3" w:rsidRPr="00AD2D8D" w:rsidRDefault="00985DF3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C" w14:textId="052CBF75" w:rsidR="00E72482" w:rsidRPr="00AD2D8D" w:rsidRDefault="00985DF3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Group Welfare and the Forma</w:t>
      </w:r>
      <w:r w:rsidRPr="00AD2D8D">
        <w:rPr>
          <w:rFonts w:ascii="Garamond" w:hAnsi="Garamond"/>
          <w:color w:val="000000" w:themeColor="text1"/>
          <w:sz w:val="20"/>
        </w:rPr>
        <w:t xml:space="preserve">tion of A Common Labor Market:  </w:t>
      </w:r>
      <w:r w:rsidR="00E72482" w:rsidRPr="00AD2D8D">
        <w:rPr>
          <w:rFonts w:ascii="Garamond" w:hAnsi="Garamond"/>
          <w:color w:val="000000" w:themeColor="text1"/>
          <w:sz w:val="20"/>
        </w:rPr>
        <w:t>Some Global Results</w:t>
      </w:r>
      <w:r w:rsidRPr="00AD2D8D">
        <w:rPr>
          <w:rFonts w:ascii="Garamond" w:hAnsi="Garamond"/>
          <w:color w:val="000000" w:themeColor="text1"/>
          <w:sz w:val="20"/>
        </w:rPr>
        <w:t>”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 (w</w:t>
      </w:r>
      <w:r w:rsidRPr="00AD2D8D">
        <w:rPr>
          <w:rFonts w:ascii="Garamond" w:hAnsi="Garamond"/>
          <w:color w:val="000000" w:themeColor="text1"/>
          <w:sz w:val="20"/>
        </w:rPr>
        <w:t xml:space="preserve">ith Gary Hoover; lead article),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International Tax and Public Finance</w:t>
      </w:r>
      <w:r w:rsidR="00E72482" w:rsidRPr="00AD2D8D">
        <w:rPr>
          <w:rFonts w:ascii="Garamond" w:hAnsi="Garamond"/>
          <w:color w:val="000000" w:themeColor="text1"/>
          <w:sz w:val="20"/>
        </w:rPr>
        <w:t>, Vol. 13, 2006, pp. 3-23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6ED" w14:textId="77777777" w:rsidR="00985DF3" w:rsidRPr="00AD2D8D" w:rsidRDefault="00985DF3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EE" w14:textId="0A5A28C6" w:rsidR="00E72482" w:rsidRPr="00AD2D8D" w:rsidRDefault="00985DF3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lastRenderedPageBreak/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Possibility, Impossibility and History in the Origins of the Marriage Tax</w:t>
      </w:r>
      <w:r w:rsidRPr="00AD2D8D">
        <w:rPr>
          <w:rFonts w:ascii="Garamond" w:hAnsi="Garamond"/>
          <w:color w:val="000000" w:themeColor="text1"/>
          <w:sz w:val="20"/>
        </w:rPr>
        <w:t xml:space="preserve">” 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(with </w:t>
      </w:r>
      <w:r w:rsidRPr="00AD2D8D">
        <w:rPr>
          <w:rFonts w:ascii="Garamond" w:hAnsi="Garamond"/>
          <w:color w:val="000000" w:themeColor="text1"/>
          <w:sz w:val="20"/>
        </w:rPr>
        <w:t xml:space="preserve">Marcus Berliant; lead article),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National Tax Journal</w:t>
      </w:r>
      <w:r w:rsidR="00E72482" w:rsidRPr="00AD2D8D">
        <w:rPr>
          <w:rFonts w:ascii="Garamond" w:hAnsi="Garamond"/>
          <w:color w:val="000000" w:themeColor="text1"/>
          <w:sz w:val="20"/>
        </w:rPr>
        <w:t>, Vol. 56, 2003, pp. 303-317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6EF" w14:textId="77777777" w:rsidR="004C1E04" w:rsidRPr="00AD2D8D" w:rsidRDefault="004C1E04" w:rsidP="00CF296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0" w14:textId="4EFA2F47" w:rsidR="00226958" w:rsidRPr="00AD2D8D" w:rsidRDefault="004C1E04" w:rsidP="00226958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On Models with an Uncongestible Public</w:t>
      </w:r>
      <w:r w:rsidR="00636A56" w:rsidRPr="00AD2D8D">
        <w:rPr>
          <w:rFonts w:ascii="Garamond" w:hAnsi="Garamond"/>
          <w:color w:val="000000" w:themeColor="text1"/>
          <w:sz w:val="20"/>
        </w:rPr>
        <w:t xml:space="preserve"> Good and a Continuum </w:t>
      </w:r>
      <w:r w:rsidR="00E72482" w:rsidRPr="00AD2D8D">
        <w:rPr>
          <w:rFonts w:ascii="Garamond" w:hAnsi="Garamond"/>
          <w:color w:val="000000" w:themeColor="text1"/>
          <w:sz w:val="20"/>
        </w:rPr>
        <w:t>of Consumers</w:t>
      </w:r>
      <w:r w:rsidR="007B16F8" w:rsidRPr="00AD2D8D">
        <w:rPr>
          <w:rFonts w:ascii="Garamond" w:hAnsi="Garamond"/>
          <w:color w:val="000000" w:themeColor="text1"/>
          <w:sz w:val="20"/>
        </w:rPr>
        <w:t>”</w:t>
      </w:r>
      <w:r w:rsidRPr="00AD2D8D">
        <w:rPr>
          <w:rFonts w:ascii="Garamond" w:hAnsi="Garamond"/>
          <w:color w:val="000000" w:themeColor="text1"/>
          <w:sz w:val="20"/>
        </w:rPr>
        <w:t xml:space="preserve"> (with Marcus Berliant),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Journal of Urban Economics</w:t>
      </w:r>
      <w:r w:rsidR="00E72482" w:rsidRPr="00AD2D8D">
        <w:rPr>
          <w:rFonts w:ascii="Garamond" w:hAnsi="Garamond"/>
          <w:color w:val="000000" w:themeColor="text1"/>
          <w:sz w:val="20"/>
        </w:rPr>
        <w:t>, Vol. 48, 2000, pp. 388-396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 </w:t>
      </w:r>
    </w:p>
    <w:p w14:paraId="7E5D86F1" w14:textId="77777777" w:rsidR="00226958" w:rsidRPr="00AD2D8D" w:rsidRDefault="00226958" w:rsidP="00226958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2" w14:textId="360A37C9" w:rsidR="00226958" w:rsidRPr="00AD2D8D" w:rsidRDefault="00226958" w:rsidP="00226958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 xml:space="preserve">Review of 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Democratic Choice and </w:t>
      </w:r>
      <w:r w:rsidRPr="00AD2D8D">
        <w:rPr>
          <w:rFonts w:ascii="Garamond" w:hAnsi="Garamond"/>
          <w:color w:val="000000" w:themeColor="text1"/>
          <w:sz w:val="20"/>
        </w:rPr>
        <w:t xml:space="preserve">Taxation by Walter Hettich and </w:t>
      </w:r>
      <w:r w:rsidR="00E72482" w:rsidRPr="00AD2D8D">
        <w:rPr>
          <w:rFonts w:ascii="Garamond" w:hAnsi="Garamond"/>
          <w:color w:val="000000" w:themeColor="text1"/>
          <w:sz w:val="20"/>
        </w:rPr>
        <w:t>Stan Winer</w:t>
      </w:r>
      <w:r w:rsidRPr="00AD2D8D">
        <w:rPr>
          <w:rFonts w:ascii="Garamond" w:hAnsi="Garamond"/>
          <w:color w:val="000000" w:themeColor="text1"/>
          <w:sz w:val="20"/>
        </w:rPr>
        <w:t xml:space="preserve"> (Cambridge University Press),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Canadian Journal of Economics</w:t>
      </w:r>
      <w:r w:rsidR="00E72482" w:rsidRPr="00AD2D8D">
        <w:rPr>
          <w:rFonts w:ascii="Garamond" w:hAnsi="Garamond"/>
          <w:color w:val="000000" w:themeColor="text1"/>
          <w:sz w:val="20"/>
        </w:rPr>
        <w:t>, Vol. 33, 2000, pp. 587-590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6F3" w14:textId="77777777" w:rsidR="00226958" w:rsidRPr="00AD2D8D" w:rsidRDefault="00226958" w:rsidP="00226958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4" w14:textId="77777777" w:rsidR="00592E22" w:rsidRPr="00AD2D8D" w:rsidRDefault="00226958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A Dynamic Model of Loss, Retirement, and Tenure in the U.S</w:t>
      </w:r>
      <w:r w:rsidRPr="00AD2D8D">
        <w:rPr>
          <w:rFonts w:ascii="Garamond" w:hAnsi="Garamond"/>
          <w:color w:val="000000" w:themeColor="text1"/>
          <w:sz w:val="20"/>
        </w:rPr>
        <w:t xml:space="preserve">. </w:t>
      </w:r>
      <w:r w:rsidR="00E72482" w:rsidRPr="00AD2D8D">
        <w:rPr>
          <w:rFonts w:ascii="Garamond" w:hAnsi="Garamond"/>
          <w:color w:val="000000" w:themeColor="text1"/>
          <w:sz w:val="20"/>
        </w:rPr>
        <w:t>House of Representatives</w:t>
      </w:r>
      <w:r w:rsidRPr="00AD2D8D">
        <w:rPr>
          <w:rFonts w:ascii="Garamond" w:hAnsi="Garamond"/>
          <w:color w:val="000000" w:themeColor="text1"/>
          <w:sz w:val="20"/>
        </w:rPr>
        <w:t xml:space="preserve">” (with John B. Gilmour),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Journal of Politics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, </w:t>
      </w:r>
      <w:r w:rsidR="00592E22" w:rsidRPr="00AD2D8D">
        <w:rPr>
          <w:rFonts w:ascii="Garamond" w:hAnsi="Garamond"/>
          <w:color w:val="000000" w:themeColor="text1"/>
          <w:sz w:val="20"/>
        </w:rPr>
        <w:t>Vol. 58, 1996, pp. 54-68.</w:t>
      </w:r>
    </w:p>
    <w:p w14:paraId="7E5D86F5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6" w14:textId="5A4BA6D6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Term Limitation in a Dyn</w:t>
      </w:r>
      <w:r w:rsidRPr="00AD2D8D">
        <w:rPr>
          <w:rFonts w:ascii="Garamond" w:hAnsi="Garamond"/>
          <w:color w:val="000000" w:themeColor="text1"/>
          <w:sz w:val="20"/>
        </w:rPr>
        <w:t xml:space="preserve">amic Model of Partisan Balance” (with John B. Gilmour),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American Journal of Political Science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, Vol. </w:t>
      </w:r>
      <w:r w:rsidRPr="00AD2D8D">
        <w:rPr>
          <w:rFonts w:ascii="Garamond" w:hAnsi="Garamond"/>
          <w:color w:val="000000" w:themeColor="text1"/>
          <w:sz w:val="20"/>
        </w:rPr>
        <w:t>38, 1994, pp. 770-796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  <w:r w:rsidR="008158C4" w:rsidRPr="00AD2D8D">
        <w:rPr>
          <w:rFonts w:ascii="Garamond" w:hAnsi="Garamond"/>
          <w:color w:val="000000" w:themeColor="text1"/>
          <w:sz w:val="20"/>
        </w:rPr>
        <w:t xml:space="preserve">Reprinted as Chapter 9 in, </w:t>
      </w:r>
      <w:r w:rsidR="00E72482" w:rsidRPr="00AD2D8D">
        <w:rPr>
          <w:rFonts w:ascii="Garamond" w:hAnsi="Garamond"/>
          <w:color w:val="000000" w:themeColor="text1"/>
          <w:sz w:val="20"/>
        </w:rPr>
        <w:t>Legislative Term Limit</w:t>
      </w:r>
      <w:r w:rsidRPr="00AD2D8D">
        <w:rPr>
          <w:rFonts w:ascii="Garamond" w:hAnsi="Garamond"/>
          <w:color w:val="000000" w:themeColor="text1"/>
          <w:sz w:val="20"/>
        </w:rPr>
        <w:t>s:  Public Choice Perspectives, Bernard Grofman editor, Kluwer Academic Publishers, 1996.</w:t>
      </w:r>
    </w:p>
    <w:p w14:paraId="7E5D86F7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8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Learning the Preferences</w:t>
      </w:r>
      <w:r w:rsidRPr="00AD2D8D">
        <w:rPr>
          <w:rFonts w:ascii="Garamond" w:hAnsi="Garamond"/>
          <w:color w:val="000000" w:themeColor="text1"/>
          <w:sz w:val="20"/>
        </w:rPr>
        <w:t xml:space="preserve"> of Governments and Voters from </w:t>
      </w:r>
      <w:r w:rsidR="00E72482" w:rsidRPr="00AD2D8D">
        <w:rPr>
          <w:rFonts w:ascii="Garamond" w:hAnsi="Garamond"/>
          <w:color w:val="000000" w:themeColor="text1"/>
          <w:sz w:val="20"/>
        </w:rPr>
        <w:t>Proposed Spending and Aggregated Votes,</w:t>
      </w:r>
      <w:r w:rsidRPr="00AD2D8D">
        <w:rPr>
          <w:rFonts w:ascii="Garamond" w:hAnsi="Garamond"/>
          <w:color w:val="000000" w:themeColor="text1"/>
          <w:sz w:val="20"/>
        </w:rPr>
        <w:t xml:space="preserve">”   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Journal of Public Economics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, Vol. 54, 1994, pp. 361-389. </w:t>
      </w:r>
    </w:p>
    <w:p w14:paraId="7E5D86F9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A" w14:textId="40F5FC05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Decentralization and Changin</w:t>
      </w:r>
      <w:r w:rsidRPr="00AD2D8D">
        <w:rPr>
          <w:rFonts w:ascii="Garamond" w:hAnsi="Garamond"/>
          <w:color w:val="000000" w:themeColor="text1"/>
          <w:sz w:val="20"/>
        </w:rPr>
        <w:t xml:space="preserve">g Fiscal Rules in the Japanese </w:t>
      </w:r>
      <w:r w:rsidR="00E72482" w:rsidRPr="00AD2D8D">
        <w:rPr>
          <w:rFonts w:ascii="Garamond" w:hAnsi="Garamond"/>
          <w:color w:val="000000" w:themeColor="text1"/>
          <w:sz w:val="20"/>
        </w:rPr>
        <w:t>Local Public Sector,</w:t>
      </w:r>
      <w:r w:rsidRPr="00AD2D8D">
        <w:rPr>
          <w:rFonts w:ascii="Garamond" w:hAnsi="Garamond"/>
          <w:color w:val="000000" w:themeColor="text1"/>
          <w:sz w:val="20"/>
        </w:rPr>
        <w:t xml:space="preserve">” </w:t>
      </w:r>
      <w:r w:rsidRPr="00AD2D8D">
        <w:rPr>
          <w:rFonts w:ascii="Garamond" w:hAnsi="Garamond"/>
          <w:i/>
          <w:color w:val="000000" w:themeColor="text1"/>
          <w:sz w:val="20"/>
        </w:rPr>
        <w:t xml:space="preserve">Public Finance/Finances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Publiques</w:t>
      </w:r>
      <w:r w:rsidR="00E72482" w:rsidRPr="00AD2D8D">
        <w:rPr>
          <w:rFonts w:ascii="Garamond" w:hAnsi="Garamond"/>
          <w:color w:val="000000" w:themeColor="text1"/>
          <w:sz w:val="20"/>
        </w:rPr>
        <w:t>,</w:t>
      </w:r>
      <w:r w:rsidRPr="00AD2D8D">
        <w:rPr>
          <w:rFonts w:ascii="Garamond" w:hAnsi="Garamond"/>
          <w:color w:val="000000" w:themeColor="text1"/>
          <w:sz w:val="20"/>
        </w:rPr>
        <w:t xml:space="preserve"> </w:t>
      </w:r>
      <w:r w:rsidR="00E72482" w:rsidRPr="00AD2D8D">
        <w:rPr>
          <w:rFonts w:ascii="Garamond" w:hAnsi="Garamond"/>
          <w:color w:val="000000" w:themeColor="text1"/>
          <w:sz w:val="20"/>
        </w:rPr>
        <w:t>Vol. 48, 1993, pp. 110-131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6FB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C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Early Republican Retirement:  a</w:t>
      </w:r>
      <w:r w:rsidRPr="00AD2D8D">
        <w:rPr>
          <w:rFonts w:ascii="Garamond" w:hAnsi="Garamond"/>
          <w:color w:val="000000" w:themeColor="text1"/>
          <w:sz w:val="20"/>
        </w:rPr>
        <w:t xml:space="preserve"> Cause of Democratic Dominance </w:t>
      </w:r>
      <w:r w:rsidR="00E72482" w:rsidRPr="00AD2D8D">
        <w:rPr>
          <w:rFonts w:ascii="Garamond" w:hAnsi="Garamond"/>
          <w:color w:val="000000" w:themeColor="text1"/>
          <w:sz w:val="20"/>
        </w:rPr>
        <w:t>in the House of Representatives</w:t>
      </w:r>
      <w:r w:rsidRPr="00AD2D8D">
        <w:rPr>
          <w:rFonts w:ascii="Garamond" w:hAnsi="Garamond"/>
          <w:color w:val="000000" w:themeColor="text1"/>
          <w:sz w:val="20"/>
        </w:rPr>
        <w:t xml:space="preserve">” (with John B. Gilmour),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Legislative Studies Quarterly</w:t>
      </w:r>
      <w:r w:rsidR="00E72482" w:rsidRPr="00AD2D8D">
        <w:rPr>
          <w:rFonts w:ascii="Garamond" w:hAnsi="Garamond"/>
          <w:color w:val="000000" w:themeColor="text1"/>
          <w:sz w:val="20"/>
        </w:rPr>
        <w:t xml:space="preserve">, Vol. 18, 1993, pp. 345-365. </w:t>
      </w:r>
    </w:p>
    <w:p w14:paraId="7E5D86FD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6FE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Foundations of Logit in Economic</w:t>
      </w:r>
      <w:r w:rsidRPr="00AD2D8D">
        <w:rPr>
          <w:rFonts w:ascii="Garamond" w:hAnsi="Garamond"/>
          <w:color w:val="000000" w:themeColor="text1"/>
          <w:sz w:val="20"/>
        </w:rPr>
        <w:t xml:space="preserve"> Models of Voting in Referenda,”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 xml:space="preserve">1993 </w:t>
      </w:r>
      <w:r w:rsidRPr="00AD2D8D">
        <w:rPr>
          <w:rFonts w:ascii="Garamond" w:hAnsi="Garamond"/>
          <w:i/>
          <w:color w:val="000000" w:themeColor="text1"/>
          <w:sz w:val="20"/>
        </w:rPr>
        <w:t xml:space="preserve">Proceedings of the Business and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Economic Statistics Section</w:t>
      </w:r>
      <w:r w:rsidR="00E72482" w:rsidRPr="00AD2D8D">
        <w:rPr>
          <w:rFonts w:ascii="Garamond" w:hAnsi="Garamond"/>
          <w:color w:val="000000" w:themeColor="text1"/>
          <w:sz w:val="20"/>
        </w:rPr>
        <w:t>, American Statistica</w:t>
      </w:r>
      <w:r w:rsidRPr="00AD2D8D">
        <w:rPr>
          <w:rFonts w:ascii="Garamond" w:hAnsi="Garamond"/>
          <w:color w:val="000000" w:themeColor="text1"/>
          <w:sz w:val="20"/>
        </w:rPr>
        <w:t xml:space="preserve">l Association, pp. 137-142. </w:t>
      </w:r>
    </w:p>
    <w:p w14:paraId="7E5D86FF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700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The Demand for Education w</w:t>
      </w:r>
      <w:r w:rsidRPr="00AD2D8D">
        <w:rPr>
          <w:rFonts w:ascii="Garamond" w:hAnsi="Garamond"/>
          <w:color w:val="000000" w:themeColor="text1"/>
          <w:sz w:val="20"/>
        </w:rPr>
        <w:t xml:space="preserve">ith `Power Equalizing' Aid:  </w:t>
      </w:r>
      <w:r w:rsidR="00E72482" w:rsidRPr="00AD2D8D">
        <w:rPr>
          <w:rFonts w:ascii="Garamond" w:hAnsi="Garamond"/>
          <w:color w:val="000000" w:themeColor="text1"/>
          <w:sz w:val="20"/>
        </w:rPr>
        <w:t>Estimation and Simulation,</w:t>
      </w:r>
      <w:r w:rsidRPr="00AD2D8D">
        <w:rPr>
          <w:rFonts w:ascii="Garamond" w:hAnsi="Garamond"/>
          <w:color w:val="000000" w:themeColor="text1"/>
          <w:sz w:val="20"/>
        </w:rPr>
        <w:t xml:space="preserve">” (lead article),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Journal of Public Economi</w:t>
      </w:r>
      <w:r w:rsidRPr="00AD2D8D">
        <w:rPr>
          <w:rFonts w:ascii="Garamond" w:hAnsi="Garamond"/>
          <w:i/>
          <w:color w:val="000000" w:themeColor="text1"/>
          <w:sz w:val="20"/>
        </w:rPr>
        <w:t>cs</w:t>
      </w:r>
      <w:r w:rsidRPr="00AD2D8D">
        <w:rPr>
          <w:rFonts w:ascii="Garamond" w:hAnsi="Garamond"/>
          <w:color w:val="000000" w:themeColor="text1"/>
          <w:sz w:val="20"/>
        </w:rPr>
        <w:t>, Vol. 49, 1992, pp. 135-162.</w:t>
      </w:r>
    </w:p>
    <w:p w14:paraId="7E5D8701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702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Representative Vo</w:t>
      </w:r>
      <w:r w:rsidRPr="00AD2D8D">
        <w:rPr>
          <w:rFonts w:ascii="Garamond" w:hAnsi="Garamond"/>
          <w:color w:val="000000" w:themeColor="text1"/>
          <w:sz w:val="20"/>
        </w:rPr>
        <w:t xml:space="preserve">ter Theorems,”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Public Choic</w:t>
      </w:r>
      <w:r w:rsidRPr="00AD2D8D">
        <w:rPr>
          <w:rFonts w:ascii="Garamond" w:hAnsi="Garamond"/>
          <w:i/>
          <w:color w:val="000000" w:themeColor="text1"/>
          <w:sz w:val="20"/>
        </w:rPr>
        <w:t>e</w:t>
      </w:r>
      <w:r w:rsidRPr="00AD2D8D">
        <w:rPr>
          <w:rFonts w:ascii="Garamond" w:hAnsi="Garamond"/>
          <w:color w:val="000000" w:themeColor="text1"/>
          <w:sz w:val="20"/>
        </w:rPr>
        <w:t>, Vol. 72, 1991, pp. 193-212.</w:t>
      </w:r>
    </w:p>
    <w:p w14:paraId="7E5D8703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704" w14:textId="166853C6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The Algebra of a Class of Transformations with Applicati</w:t>
      </w:r>
      <w:r w:rsidRPr="00AD2D8D">
        <w:rPr>
          <w:rFonts w:ascii="Garamond" w:hAnsi="Garamond"/>
          <w:color w:val="000000" w:themeColor="text1"/>
          <w:sz w:val="20"/>
        </w:rPr>
        <w:t xml:space="preserve">ons </w:t>
      </w:r>
      <w:r w:rsidR="00E72482" w:rsidRPr="00AD2D8D">
        <w:rPr>
          <w:rFonts w:ascii="Garamond" w:hAnsi="Garamond"/>
          <w:color w:val="000000" w:themeColor="text1"/>
          <w:sz w:val="20"/>
        </w:rPr>
        <w:t>to Log-Log Models of School Spending,</w:t>
      </w:r>
      <w:r w:rsidRPr="00AD2D8D">
        <w:rPr>
          <w:rFonts w:ascii="Garamond" w:hAnsi="Garamond"/>
          <w:color w:val="000000" w:themeColor="text1"/>
          <w:sz w:val="20"/>
        </w:rPr>
        <w:t xml:space="preserve">”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Public Finance Quarterly</w:t>
      </w:r>
      <w:r w:rsidR="00E72482" w:rsidRPr="00AD2D8D">
        <w:rPr>
          <w:rFonts w:ascii="Garamond" w:hAnsi="Garamond"/>
          <w:color w:val="000000" w:themeColor="text1"/>
          <w:sz w:val="20"/>
        </w:rPr>
        <w:t>, Vol. 19, 1991, pp. 457-465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7E5D8705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706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Profit and Expenditure Func</w:t>
      </w:r>
      <w:r w:rsidRPr="00AD2D8D">
        <w:rPr>
          <w:rFonts w:ascii="Garamond" w:hAnsi="Garamond"/>
          <w:color w:val="000000" w:themeColor="text1"/>
          <w:sz w:val="20"/>
        </w:rPr>
        <w:t>tions in Basic Public Finance:  A Correction,</w:t>
      </w:r>
      <w:r w:rsidR="00016124" w:rsidRPr="00AD2D8D">
        <w:rPr>
          <w:rFonts w:ascii="Garamond" w:hAnsi="Garamond"/>
          <w:color w:val="000000" w:themeColor="text1"/>
          <w:sz w:val="20"/>
        </w:rPr>
        <w:t>”</w:t>
      </w:r>
      <w:r w:rsidRPr="00AD2D8D">
        <w:rPr>
          <w:rFonts w:ascii="Garamond" w:hAnsi="Garamond"/>
          <w:color w:val="000000" w:themeColor="text1"/>
          <w:sz w:val="20"/>
        </w:rPr>
        <w:t xml:space="preserve">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Economic Inquiry</w:t>
      </w:r>
      <w:r w:rsidR="00E72482" w:rsidRPr="00AD2D8D">
        <w:rPr>
          <w:rFonts w:ascii="Garamond" w:hAnsi="Garamond"/>
          <w:color w:val="000000" w:themeColor="text1"/>
          <w:sz w:val="20"/>
        </w:rPr>
        <w:t>, Vol. 29, 1991, pp. 180-1</w:t>
      </w:r>
      <w:r w:rsidRPr="00AD2D8D">
        <w:rPr>
          <w:rFonts w:ascii="Garamond" w:hAnsi="Garamond"/>
          <w:color w:val="000000" w:themeColor="text1"/>
          <w:sz w:val="20"/>
        </w:rPr>
        <w:t>81.</w:t>
      </w:r>
    </w:p>
    <w:p w14:paraId="7E5D8707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708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Order Restricted</w:t>
      </w:r>
      <w:r w:rsidRPr="00AD2D8D">
        <w:rPr>
          <w:rFonts w:ascii="Garamond" w:hAnsi="Garamond"/>
          <w:color w:val="000000" w:themeColor="text1"/>
          <w:sz w:val="20"/>
        </w:rPr>
        <w:t xml:space="preserve"> Preferences and Majority Rule,” </w:t>
      </w:r>
      <w:r w:rsidR="00E72482" w:rsidRPr="00AD2D8D">
        <w:rPr>
          <w:rFonts w:ascii="Garamond" w:hAnsi="Garamond"/>
          <w:i/>
          <w:color w:val="000000" w:themeColor="text1"/>
          <w:sz w:val="20"/>
        </w:rPr>
        <w:t>Social Choice and Welfa</w:t>
      </w:r>
      <w:r w:rsidRPr="00AD2D8D">
        <w:rPr>
          <w:rFonts w:ascii="Garamond" w:hAnsi="Garamond"/>
          <w:i/>
          <w:color w:val="000000" w:themeColor="text1"/>
          <w:sz w:val="20"/>
        </w:rPr>
        <w:t>re</w:t>
      </w:r>
      <w:r w:rsidRPr="00AD2D8D">
        <w:rPr>
          <w:rFonts w:ascii="Garamond" w:hAnsi="Garamond"/>
          <w:color w:val="000000" w:themeColor="text1"/>
          <w:sz w:val="20"/>
        </w:rPr>
        <w:t>, Vol. 7, 1990, pp. 331-342.</w:t>
      </w:r>
    </w:p>
    <w:p w14:paraId="7E5D8709" w14:textId="77777777" w:rsidR="00592E2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</w:p>
    <w:p w14:paraId="7E5D870A" w14:textId="4C8EE3AE" w:rsidR="00E72482" w:rsidRPr="00AD2D8D" w:rsidRDefault="00592E22" w:rsidP="00592E22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“</w:t>
      </w:r>
      <w:r w:rsidR="00E72482" w:rsidRPr="00AD2D8D">
        <w:rPr>
          <w:rFonts w:ascii="Garamond" w:hAnsi="Garamond"/>
          <w:color w:val="000000" w:themeColor="text1"/>
          <w:sz w:val="20"/>
        </w:rPr>
        <w:t>State Aid, Politics, and the</w:t>
      </w:r>
      <w:r w:rsidRPr="00AD2D8D">
        <w:rPr>
          <w:rFonts w:ascii="Garamond" w:hAnsi="Garamond"/>
          <w:color w:val="000000" w:themeColor="text1"/>
          <w:sz w:val="20"/>
        </w:rPr>
        <w:t xml:space="preserve"> Econometrics of the Demand for </w:t>
      </w:r>
      <w:r w:rsidR="00E72482" w:rsidRPr="00AD2D8D">
        <w:rPr>
          <w:rFonts w:ascii="Garamond" w:hAnsi="Garamond"/>
          <w:color w:val="000000" w:themeColor="text1"/>
          <w:sz w:val="20"/>
        </w:rPr>
        <w:t>Education,</w:t>
      </w:r>
      <w:r w:rsidRPr="00AD2D8D">
        <w:rPr>
          <w:rFonts w:ascii="Garamond" w:hAnsi="Garamond"/>
          <w:color w:val="000000" w:themeColor="text1"/>
          <w:sz w:val="20"/>
        </w:rPr>
        <w:t xml:space="preserve">” </w:t>
      </w:r>
      <w:r w:rsidRPr="00AD2D8D">
        <w:rPr>
          <w:rFonts w:ascii="Garamond" w:hAnsi="Garamond"/>
          <w:i/>
          <w:color w:val="000000" w:themeColor="text1"/>
          <w:sz w:val="20"/>
        </w:rPr>
        <w:t>NTA-TIA Proceedings--1989</w:t>
      </w:r>
      <w:r w:rsidRPr="00AD2D8D">
        <w:rPr>
          <w:rFonts w:ascii="Garamond" w:hAnsi="Garamond"/>
          <w:color w:val="000000" w:themeColor="text1"/>
          <w:sz w:val="20"/>
        </w:rPr>
        <w:t xml:space="preserve">, </w:t>
      </w:r>
      <w:r w:rsidR="00E72482" w:rsidRPr="00AD2D8D">
        <w:rPr>
          <w:rFonts w:ascii="Garamond" w:hAnsi="Garamond"/>
          <w:color w:val="000000" w:themeColor="text1"/>
          <w:sz w:val="20"/>
        </w:rPr>
        <w:t>National Tax Association, pp. 209-216</w:t>
      </w:r>
      <w:r w:rsidR="00DB622B">
        <w:rPr>
          <w:rFonts w:ascii="Garamond" w:hAnsi="Garamond"/>
          <w:color w:val="000000" w:themeColor="text1"/>
          <w:sz w:val="20"/>
        </w:rPr>
        <w:t xml:space="preserve">. </w:t>
      </w:r>
    </w:p>
    <w:p w14:paraId="24F594F6" w14:textId="77777777" w:rsidR="00C27204" w:rsidRPr="00AD2D8D" w:rsidRDefault="00C27204" w:rsidP="00EF2B92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FCD5E40" w14:textId="77777777" w:rsidR="00C27204" w:rsidRPr="00AD2D8D" w:rsidRDefault="00C27204" w:rsidP="00C27204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</w:rPr>
        <w:t xml:space="preserve">Graduate Student Dissertation Committees and First Appointment </w:t>
      </w:r>
    </w:p>
    <w:p w14:paraId="7E5D8712" w14:textId="09A8EBD0" w:rsidR="00E72482" w:rsidRDefault="00916825" w:rsidP="00916825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Available on request.</w:t>
      </w:r>
    </w:p>
    <w:p w14:paraId="7F44B38C" w14:textId="77777777" w:rsidR="00916825" w:rsidRPr="00AD2D8D" w:rsidRDefault="00916825" w:rsidP="00E72482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p w14:paraId="0FA15721" w14:textId="5B911DCF" w:rsidR="00D0614A" w:rsidRPr="00D0614A" w:rsidRDefault="009D5D10" w:rsidP="00D0614A">
      <w:pPr>
        <w:spacing w:after="0" w:line="240" w:lineRule="auto"/>
        <w:rPr>
          <w:rFonts w:ascii="Garamond" w:hAnsi="Garamond"/>
          <w:b/>
          <w:smallCaps/>
          <w:color w:val="000000" w:themeColor="text1"/>
          <w:sz w:val="24"/>
          <w:szCs w:val="26"/>
        </w:rPr>
      </w:pPr>
      <w:r w:rsidRPr="00AD2D8D">
        <w:rPr>
          <w:rFonts w:ascii="Garamond" w:hAnsi="Garamond"/>
          <w:b/>
          <w:smallCaps/>
          <w:color w:val="000000" w:themeColor="text1"/>
          <w:sz w:val="24"/>
          <w:szCs w:val="26"/>
        </w:rPr>
        <w:t>Prepared Courses</w:t>
      </w:r>
      <w:r w:rsidR="0099332B">
        <w:rPr>
          <w:rFonts w:ascii="Garamond" w:hAnsi="Garamond"/>
          <w:b/>
          <w:smallCaps/>
          <w:color w:val="000000" w:themeColor="text1"/>
          <w:sz w:val="24"/>
          <w:szCs w:val="26"/>
        </w:rPr>
        <w:t>—Research Presentations—References</w:t>
      </w:r>
    </w:p>
    <w:p w14:paraId="59E852AB" w14:textId="77777777" w:rsidR="00D0614A" w:rsidRPr="00AD2D8D" w:rsidRDefault="00D0614A" w:rsidP="00D0614A">
      <w:pPr>
        <w:spacing w:after="0" w:line="240" w:lineRule="auto"/>
        <w:ind w:left="450"/>
        <w:rPr>
          <w:rFonts w:ascii="Garamond" w:hAnsi="Garamond"/>
          <w:color w:val="000000" w:themeColor="text1"/>
          <w:sz w:val="20"/>
        </w:rPr>
      </w:pPr>
      <w:r w:rsidRPr="00AD2D8D">
        <w:rPr>
          <w:rFonts w:ascii="Garamond" w:hAnsi="Garamond"/>
          <w:color w:val="000000" w:themeColor="text1"/>
          <w:sz w:val="20"/>
        </w:rPr>
        <w:t>Available on request.</w:t>
      </w:r>
    </w:p>
    <w:p w14:paraId="71C9708D" w14:textId="77777777" w:rsidR="004333D5" w:rsidRPr="00AD2D8D" w:rsidRDefault="004333D5" w:rsidP="0099332B">
      <w:pPr>
        <w:spacing w:after="0" w:line="240" w:lineRule="auto"/>
        <w:rPr>
          <w:rFonts w:ascii="Garamond" w:hAnsi="Garamond"/>
          <w:color w:val="000000" w:themeColor="text1"/>
          <w:sz w:val="20"/>
        </w:rPr>
      </w:pPr>
    </w:p>
    <w:sectPr w:rsidR="004333D5" w:rsidRPr="00AD2D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E0FD" w14:textId="77777777" w:rsidR="00B9283B" w:rsidRDefault="00B9283B" w:rsidP="00EF2B92">
      <w:pPr>
        <w:spacing w:after="0" w:line="240" w:lineRule="auto"/>
      </w:pPr>
      <w:r>
        <w:separator/>
      </w:r>
    </w:p>
  </w:endnote>
  <w:endnote w:type="continuationSeparator" w:id="0">
    <w:p w14:paraId="7BAAF21D" w14:textId="77777777" w:rsidR="00B9283B" w:rsidRDefault="00B9283B" w:rsidP="00E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164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B2367" w14:textId="71AB1CC2" w:rsidR="00EF2B92" w:rsidRDefault="00EF2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7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8CF3CF" w14:textId="77777777" w:rsidR="00EF2B92" w:rsidRDefault="00EF2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ABED" w14:textId="77777777" w:rsidR="00B9283B" w:rsidRDefault="00B9283B" w:rsidP="00EF2B92">
      <w:pPr>
        <w:spacing w:after="0" w:line="240" w:lineRule="auto"/>
      </w:pPr>
      <w:r>
        <w:separator/>
      </w:r>
    </w:p>
  </w:footnote>
  <w:footnote w:type="continuationSeparator" w:id="0">
    <w:p w14:paraId="49F9A1FE" w14:textId="77777777" w:rsidR="00B9283B" w:rsidRDefault="00B9283B" w:rsidP="00EF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74D"/>
    <w:multiLevelType w:val="hybridMultilevel"/>
    <w:tmpl w:val="72BE57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54C6B"/>
    <w:multiLevelType w:val="hybridMultilevel"/>
    <w:tmpl w:val="E502FE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11F2640"/>
    <w:multiLevelType w:val="hybridMultilevel"/>
    <w:tmpl w:val="42704F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02AF0"/>
    <w:multiLevelType w:val="hybridMultilevel"/>
    <w:tmpl w:val="1CC05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637B"/>
    <w:multiLevelType w:val="hybridMultilevel"/>
    <w:tmpl w:val="74846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F086B"/>
    <w:multiLevelType w:val="hybridMultilevel"/>
    <w:tmpl w:val="39F85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1AC9"/>
    <w:multiLevelType w:val="hybridMultilevel"/>
    <w:tmpl w:val="85C66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8486F"/>
    <w:multiLevelType w:val="hybridMultilevel"/>
    <w:tmpl w:val="1EE6B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F35DD"/>
    <w:multiLevelType w:val="hybridMultilevel"/>
    <w:tmpl w:val="46FCB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B1851"/>
    <w:multiLevelType w:val="hybridMultilevel"/>
    <w:tmpl w:val="2EE0CB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272C1"/>
    <w:multiLevelType w:val="hybridMultilevel"/>
    <w:tmpl w:val="2E781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84CC2"/>
    <w:multiLevelType w:val="hybridMultilevel"/>
    <w:tmpl w:val="33FCD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317650">
    <w:abstractNumId w:val="10"/>
  </w:num>
  <w:num w:numId="2" w16cid:durableId="1249735771">
    <w:abstractNumId w:val="0"/>
  </w:num>
  <w:num w:numId="3" w16cid:durableId="1818499113">
    <w:abstractNumId w:val="11"/>
  </w:num>
  <w:num w:numId="4" w16cid:durableId="771246186">
    <w:abstractNumId w:val="5"/>
  </w:num>
  <w:num w:numId="5" w16cid:durableId="428086951">
    <w:abstractNumId w:val="6"/>
  </w:num>
  <w:num w:numId="6" w16cid:durableId="209849282">
    <w:abstractNumId w:val="1"/>
  </w:num>
  <w:num w:numId="7" w16cid:durableId="593440016">
    <w:abstractNumId w:val="3"/>
  </w:num>
  <w:num w:numId="8" w16cid:durableId="1919173496">
    <w:abstractNumId w:val="4"/>
  </w:num>
  <w:num w:numId="9" w16cid:durableId="886338217">
    <w:abstractNumId w:val="2"/>
  </w:num>
  <w:num w:numId="10" w16cid:durableId="2030447003">
    <w:abstractNumId w:val="9"/>
  </w:num>
  <w:num w:numId="11" w16cid:durableId="1191719224">
    <w:abstractNumId w:val="8"/>
  </w:num>
  <w:num w:numId="12" w16cid:durableId="1695690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482"/>
    <w:rsid w:val="00005236"/>
    <w:rsid w:val="00006084"/>
    <w:rsid w:val="00012ACA"/>
    <w:rsid w:val="00014A02"/>
    <w:rsid w:val="00015ACE"/>
    <w:rsid w:val="00015B80"/>
    <w:rsid w:val="00016124"/>
    <w:rsid w:val="00030704"/>
    <w:rsid w:val="00031955"/>
    <w:rsid w:val="00035F50"/>
    <w:rsid w:val="00037DA8"/>
    <w:rsid w:val="00037E44"/>
    <w:rsid w:val="0004139F"/>
    <w:rsid w:val="00041A82"/>
    <w:rsid w:val="00041B2D"/>
    <w:rsid w:val="0004752A"/>
    <w:rsid w:val="000505E2"/>
    <w:rsid w:val="0006009F"/>
    <w:rsid w:val="00060AC4"/>
    <w:rsid w:val="000643D5"/>
    <w:rsid w:val="0006463B"/>
    <w:rsid w:val="00073BA1"/>
    <w:rsid w:val="0007726A"/>
    <w:rsid w:val="00077A09"/>
    <w:rsid w:val="0008101B"/>
    <w:rsid w:val="00082CD0"/>
    <w:rsid w:val="0008508F"/>
    <w:rsid w:val="00086359"/>
    <w:rsid w:val="000879FC"/>
    <w:rsid w:val="00093729"/>
    <w:rsid w:val="000959AB"/>
    <w:rsid w:val="0009699A"/>
    <w:rsid w:val="000A1678"/>
    <w:rsid w:val="000A69F6"/>
    <w:rsid w:val="000B1120"/>
    <w:rsid w:val="000B20D3"/>
    <w:rsid w:val="000B2E68"/>
    <w:rsid w:val="000C13DB"/>
    <w:rsid w:val="000C67A0"/>
    <w:rsid w:val="000D0A29"/>
    <w:rsid w:val="000D3B32"/>
    <w:rsid w:val="000D737C"/>
    <w:rsid w:val="000E0A28"/>
    <w:rsid w:val="000E4ECC"/>
    <w:rsid w:val="000E6165"/>
    <w:rsid w:val="000E7245"/>
    <w:rsid w:val="000E7AD4"/>
    <w:rsid w:val="000F0219"/>
    <w:rsid w:val="000F5EDB"/>
    <w:rsid w:val="000F6A5E"/>
    <w:rsid w:val="001011A8"/>
    <w:rsid w:val="001057AE"/>
    <w:rsid w:val="00105875"/>
    <w:rsid w:val="0010614D"/>
    <w:rsid w:val="00111532"/>
    <w:rsid w:val="00111DFB"/>
    <w:rsid w:val="0011683E"/>
    <w:rsid w:val="001200BA"/>
    <w:rsid w:val="001212E7"/>
    <w:rsid w:val="00123DAE"/>
    <w:rsid w:val="00130BCB"/>
    <w:rsid w:val="001345F6"/>
    <w:rsid w:val="0014182E"/>
    <w:rsid w:val="0015241C"/>
    <w:rsid w:val="00152470"/>
    <w:rsid w:val="00156D9E"/>
    <w:rsid w:val="001575CA"/>
    <w:rsid w:val="0016146E"/>
    <w:rsid w:val="00162BDA"/>
    <w:rsid w:val="00163033"/>
    <w:rsid w:val="001631A3"/>
    <w:rsid w:val="00171A35"/>
    <w:rsid w:val="00173711"/>
    <w:rsid w:val="00174DE3"/>
    <w:rsid w:val="00176C10"/>
    <w:rsid w:val="00177FD5"/>
    <w:rsid w:val="0018151F"/>
    <w:rsid w:val="00181DFE"/>
    <w:rsid w:val="00183EA4"/>
    <w:rsid w:val="0018556B"/>
    <w:rsid w:val="0018655B"/>
    <w:rsid w:val="001913BB"/>
    <w:rsid w:val="00192FD4"/>
    <w:rsid w:val="00194077"/>
    <w:rsid w:val="00197615"/>
    <w:rsid w:val="001A0213"/>
    <w:rsid w:val="001A29BD"/>
    <w:rsid w:val="001A2B7A"/>
    <w:rsid w:val="001A37CA"/>
    <w:rsid w:val="001A5292"/>
    <w:rsid w:val="001A7784"/>
    <w:rsid w:val="001A7A51"/>
    <w:rsid w:val="001B1BDC"/>
    <w:rsid w:val="001B2E12"/>
    <w:rsid w:val="001B45A3"/>
    <w:rsid w:val="001B4B0B"/>
    <w:rsid w:val="001B555B"/>
    <w:rsid w:val="001C1423"/>
    <w:rsid w:val="001C2125"/>
    <w:rsid w:val="001C59C8"/>
    <w:rsid w:val="001C5E7C"/>
    <w:rsid w:val="001D15DA"/>
    <w:rsid w:val="001D21FB"/>
    <w:rsid w:val="001D58CF"/>
    <w:rsid w:val="001D763A"/>
    <w:rsid w:val="001D7F8C"/>
    <w:rsid w:val="001E0B62"/>
    <w:rsid w:val="001E4652"/>
    <w:rsid w:val="001E528F"/>
    <w:rsid w:val="001E54EC"/>
    <w:rsid w:val="001F12CB"/>
    <w:rsid w:val="001F170B"/>
    <w:rsid w:val="001F3577"/>
    <w:rsid w:val="00201741"/>
    <w:rsid w:val="00201D66"/>
    <w:rsid w:val="002032A9"/>
    <w:rsid w:val="00203311"/>
    <w:rsid w:val="00207B51"/>
    <w:rsid w:val="00207C0C"/>
    <w:rsid w:val="002108AF"/>
    <w:rsid w:val="00210BAB"/>
    <w:rsid w:val="00215655"/>
    <w:rsid w:val="00221EA2"/>
    <w:rsid w:val="0022222E"/>
    <w:rsid w:val="00225BAB"/>
    <w:rsid w:val="00226958"/>
    <w:rsid w:val="00230547"/>
    <w:rsid w:val="0023376B"/>
    <w:rsid w:val="00236216"/>
    <w:rsid w:val="00237B04"/>
    <w:rsid w:val="00245F97"/>
    <w:rsid w:val="002463FC"/>
    <w:rsid w:val="00251AD2"/>
    <w:rsid w:val="00256F6A"/>
    <w:rsid w:val="00260F34"/>
    <w:rsid w:val="002654C8"/>
    <w:rsid w:val="00270DBD"/>
    <w:rsid w:val="0027297E"/>
    <w:rsid w:val="00273E79"/>
    <w:rsid w:val="00281B85"/>
    <w:rsid w:val="00281F1D"/>
    <w:rsid w:val="00284A43"/>
    <w:rsid w:val="0028710E"/>
    <w:rsid w:val="00287375"/>
    <w:rsid w:val="00292233"/>
    <w:rsid w:val="00292C03"/>
    <w:rsid w:val="0029361F"/>
    <w:rsid w:val="00294145"/>
    <w:rsid w:val="00295367"/>
    <w:rsid w:val="002A1F0F"/>
    <w:rsid w:val="002A3148"/>
    <w:rsid w:val="002A3C3B"/>
    <w:rsid w:val="002A54B1"/>
    <w:rsid w:val="002B0197"/>
    <w:rsid w:val="002B0268"/>
    <w:rsid w:val="002B123A"/>
    <w:rsid w:val="002B1DB4"/>
    <w:rsid w:val="002B20A5"/>
    <w:rsid w:val="002B340A"/>
    <w:rsid w:val="002B54F4"/>
    <w:rsid w:val="002B6577"/>
    <w:rsid w:val="002C072E"/>
    <w:rsid w:val="002C07E9"/>
    <w:rsid w:val="002C0E8A"/>
    <w:rsid w:val="002C32E0"/>
    <w:rsid w:val="002C7EB1"/>
    <w:rsid w:val="002D2608"/>
    <w:rsid w:val="002D3162"/>
    <w:rsid w:val="002D3A0B"/>
    <w:rsid w:val="002D506E"/>
    <w:rsid w:val="002D5093"/>
    <w:rsid w:val="002E0E67"/>
    <w:rsid w:val="002E131A"/>
    <w:rsid w:val="002E6EBF"/>
    <w:rsid w:val="002F2A13"/>
    <w:rsid w:val="002F77A4"/>
    <w:rsid w:val="00301165"/>
    <w:rsid w:val="003114C7"/>
    <w:rsid w:val="0031150A"/>
    <w:rsid w:val="00315313"/>
    <w:rsid w:val="00315753"/>
    <w:rsid w:val="00320EFD"/>
    <w:rsid w:val="00324686"/>
    <w:rsid w:val="003259FD"/>
    <w:rsid w:val="00333799"/>
    <w:rsid w:val="00335870"/>
    <w:rsid w:val="003364E1"/>
    <w:rsid w:val="00336911"/>
    <w:rsid w:val="00342EF8"/>
    <w:rsid w:val="00345120"/>
    <w:rsid w:val="003555C0"/>
    <w:rsid w:val="00356559"/>
    <w:rsid w:val="00357718"/>
    <w:rsid w:val="003633B0"/>
    <w:rsid w:val="00363BA8"/>
    <w:rsid w:val="00370BF4"/>
    <w:rsid w:val="00372A0E"/>
    <w:rsid w:val="0037475A"/>
    <w:rsid w:val="003750D6"/>
    <w:rsid w:val="00376B7D"/>
    <w:rsid w:val="00382779"/>
    <w:rsid w:val="00382C91"/>
    <w:rsid w:val="00384A7C"/>
    <w:rsid w:val="00385E41"/>
    <w:rsid w:val="00391FED"/>
    <w:rsid w:val="003931F7"/>
    <w:rsid w:val="003A0475"/>
    <w:rsid w:val="003A345F"/>
    <w:rsid w:val="003A6EF6"/>
    <w:rsid w:val="003A7E4F"/>
    <w:rsid w:val="003B09A7"/>
    <w:rsid w:val="003B2E8E"/>
    <w:rsid w:val="003B411A"/>
    <w:rsid w:val="003B62D0"/>
    <w:rsid w:val="003B6593"/>
    <w:rsid w:val="003B6DB4"/>
    <w:rsid w:val="003C3893"/>
    <w:rsid w:val="003C48DC"/>
    <w:rsid w:val="003C4BD5"/>
    <w:rsid w:val="003C4E29"/>
    <w:rsid w:val="003C5157"/>
    <w:rsid w:val="003C54CB"/>
    <w:rsid w:val="003C5B2B"/>
    <w:rsid w:val="003C6089"/>
    <w:rsid w:val="003C731D"/>
    <w:rsid w:val="003C7624"/>
    <w:rsid w:val="003D014D"/>
    <w:rsid w:val="003D488C"/>
    <w:rsid w:val="003D5307"/>
    <w:rsid w:val="003D7C33"/>
    <w:rsid w:val="003E07BB"/>
    <w:rsid w:val="003E08E7"/>
    <w:rsid w:val="003E2930"/>
    <w:rsid w:val="003E473D"/>
    <w:rsid w:val="003E7042"/>
    <w:rsid w:val="003F0523"/>
    <w:rsid w:val="003F1620"/>
    <w:rsid w:val="003F41F0"/>
    <w:rsid w:val="003F4718"/>
    <w:rsid w:val="003F55EF"/>
    <w:rsid w:val="003F5D43"/>
    <w:rsid w:val="00404891"/>
    <w:rsid w:val="00406799"/>
    <w:rsid w:val="00407434"/>
    <w:rsid w:val="004104AE"/>
    <w:rsid w:val="004116CD"/>
    <w:rsid w:val="004209FE"/>
    <w:rsid w:val="00420A88"/>
    <w:rsid w:val="004231D0"/>
    <w:rsid w:val="00423470"/>
    <w:rsid w:val="00423DDF"/>
    <w:rsid w:val="00424B20"/>
    <w:rsid w:val="00426259"/>
    <w:rsid w:val="00427902"/>
    <w:rsid w:val="00427B9B"/>
    <w:rsid w:val="004333D5"/>
    <w:rsid w:val="0044470A"/>
    <w:rsid w:val="00444FBA"/>
    <w:rsid w:val="0044613E"/>
    <w:rsid w:val="00446322"/>
    <w:rsid w:val="00446940"/>
    <w:rsid w:val="0045263A"/>
    <w:rsid w:val="00453530"/>
    <w:rsid w:val="00453A25"/>
    <w:rsid w:val="00453A80"/>
    <w:rsid w:val="00453F21"/>
    <w:rsid w:val="00454F2A"/>
    <w:rsid w:val="00455E51"/>
    <w:rsid w:val="00456E96"/>
    <w:rsid w:val="00462E96"/>
    <w:rsid w:val="004652D9"/>
    <w:rsid w:val="00466A26"/>
    <w:rsid w:val="00467B48"/>
    <w:rsid w:val="00471354"/>
    <w:rsid w:val="00480911"/>
    <w:rsid w:val="00481041"/>
    <w:rsid w:val="00484056"/>
    <w:rsid w:val="004856C2"/>
    <w:rsid w:val="00492A52"/>
    <w:rsid w:val="00492E25"/>
    <w:rsid w:val="004944D7"/>
    <w:rsid w:val="0049455A"/>
    <w:rsid w:val="004A6596"/>
    <w:rsid w:val="004B4A9C"/>
    <w:rsid w:val="004B51FA"/>
    <w:rsid w:val="004B5278"/>
    <w:rsid w:val="004C01CE"/>
    <w:rsid w:val="004C1ABD"/>
    <w:rsid w:val="004C1E04"/>
    <w:rsid w:val="004C20EF"/>
    <w:rsid w:val="004C2996"/>
    <w:rsid w:val="004C2C67"/>
    <w:rsid w:val="004C2E7D"/>
    <w:rsid w:val="004C4C80"/>
    <w:rsid w:val="004C5BC1"/>
    <w:rsid w:val="004C683C"/>
    <w:rsid w:val="004D08C9"/>
    <w:rsid w:val="004D0ABF"/>
    <w:rsid w:val="004D0F3B"/>
    <w:rsid w:val="004D10DB"/>
    <w:rsid w:val="004D730E"/>
    <w:rsid w:val="004D7717"/>
    <w:rsid w:val="004E276D"/>
    <w:rsid w:val="004E2824"/>
    <w:rsid w:val="004E3110"/>
    <w:rsid w:val="004E4046"/>
    <w:rsid w:val="004F0FE9"/>
    <w:rsid w:val="004F5074"/>
    <w:rsid w:val="004F65F0"/>
    <w:rsid w:val="0050084F"/>
    <w:rsid w:val="00502420"/>
    <w:rsid w:val="00504B00"/>
    <w:rsid w:val="00504F9A"/>
    <w:rsid w:val="00507257"/>
    <w:rsid w:val="005110AE"/>
    <w:rsid w:val="0051133C"/>
    <w:rsid w:val="00514A4F"/>
    <w:rsid w:val="00515FCB"/>
    <w:rsid w:val="00516BD5"/>
    <w:rsid w:val="00522648"/>
    <w:rsid w:val="0052339B"/>
    <w:rsid w:val="005235F7"/>
    <w:rsid w:val="00524CC9"/>
    <w:rsid w:val="00526D7E"/>
    <w:rsid w:val="00531196"/>
    <w:rsid w:val="00533491"/>
    <w:rsid w:val="00536F26"/>
    <w:rsid w:val="00554B21"/>
    <w:rsid w:val="00556819"/>
    <w:rsid w:val="00561CBB"/>
    <w:rsid w:val="00562FFA"/>
    <w:rsid w:val="005652D0"/>
    <w:rsid w:val="0056619A"/>
    <w:rsid w:val="00570B1D"/>
    <w:rsid w:val="00570B68"/>
    <w:rsid w:val="005809CF"/>
    <w:rsid w:val="00585BFB"/>
    <w:rsid w:val="00586179"/>
    <w:rsid w:val="005871B4"/>
    <w:rsid w:val="005873DA"/>
    <w:rsid w:val="0059134E"/>
    <w:rsid w:val="00592E22"/>
    <w:rsid w:val="00595B2C"/>
    <w:rsid w:val="00595F53"/>
    <w:rsid w:val="005A0B5B"/>
    <w:rsid w:val="005A4CDD"/>
    <w:rsid w:val="005A5BA6"/>
    <w:rsid w:val="005A78BF"/>
    <w:rsid w:val="005B7C66"/>
    <w:rsid w:val="005C1886"/>
    <w:rsid w:val="005C196E"/>
    <w:rsid w:val="005C199F"/>
    <w:rsid w:val="005C528E"/>
    <w:rsid w:val="005C5EF2"/>
    <w:rsid w:val="005C61A0"/>
    <w:rsid w:val="005C6752"/>
    <w:rsid w:val="005D4640"/>
    <w:rsid w:val="005E39FF"/>
    <w:rsid w:val="005E5047"/>
    <w:rsid w:val="005E5089"/>
    <w:rsid w:val="005E6741"/>
    <w:rsid w:val="005E678F"/>
    <w:rsid w:val="005E6E42"/>
    <w:rsid w:val="005E7FD9"/>
    <w:rsid w:val="005F42D5"/>
    <w:rsid w:val="005F4DF8"/>
    <w:rsid w:val="00602D2C"/>
    <w:rsid w:val="00603CB7"/>
    <w:rsid w:val="006040B1"/>
    <w:rsid w:val="00612716"/>
    <w:rsid w:val="00615C8C"/>
    <w:rsid w:val="00615FE7"/>
    <w:rsid w:val="00617F4F"/>
    <w:rsid w:val="00621590"/>
    <w:rsid w:val="0062476B"/>
    <w:rsid w:val="006332F5"/>
    <w:rsid w:val="00634810"/>
    <w:rsid w:val="00635775"/>
    <w:rsid w:val="00636A56"/>
    <w:rsid w:val="006374EE"/>
    <w:rsid w:val="006558F0"/>
    <w:rsid w:val="00655950"/>
    <w:rsid w:val="00655BA5"/>
    <w:rsid w:val="00657247"/>
    <w:rsid w:val="00662163"/>
    <w:rsid w:val="0066283E"/>
    <w:rsid w:val="00666F2C"/>
    <w:rsid w:val="00673F9F"/>
    <w:rsid w:val="0067596F"/>
    <w:rsid w:val="0067612C"/>
    <w:rsid w:val="00676785"/>
    <w:rsid w:val="00681394"/>
    <w:rsid w:val="00686E94"/>
    <w:rsid w:val="00687C0E"/>
    <w:rsid w:val="0069010B"/>
    <w:rsid w:val="006913B6"/>
    <w:rsid w:val="00693183"/>
    <w:rsid w:val="006941FB"/>
    <w:rsid w:val="00696549"/>
    <w:rsid w:val="00696D2A"/>
    <w:rsid w:val="006A7D17"/>
    <w:rsid w:val="006B1684"/>
    <w:rsid w:val="006B1BC7"/>
    <w:rsid w:val="006B24A2"/>
    <w:rsid w:val="006B7249"/>
    <w:rsid w:val="006C4090"/>
    <w:rsid w:val="006C4B09"/>
    <w:rsid w:val="006C6A76"/>
    <w:rsid w:val="006D00AA"/>
    <w:rsid w:val="006D16C2"/>
    <w:rsid w:val="006D296C"/>
    <w:rsid w:val="006E24E5"/>
    <w:rsid w:val="006E2EE4"/>
    <w:rsid w:val="006E4DB1"/>
    <w:rsid w:val="006E612E"/>
    <w:rsid w:val="00702C2B"/>
    <w:rsid w:val="007116F3"/>
    <w:rsid w:val="00712690"/>
    <w:rsid w:val="00717EBE"/>
    <w:rsid w:val="007210AB"/>
    <w:rsid w:val="00721DDA"/>
    <w:rsid w:val="0072312B"/>
    <w:rsid w:val="007244AA"/>
    <w:rsid w:val="00730665"/>
    <w:rsid w:val="00730854"/>
    <w:rsid w:val="00730F31"/>
    <w:rsid w:val="007334E7"/>
    <w:rsid w:val="0073390F"/>
    <w:rsid w:val="0073416C"/>
    <w:rsid w:val="00735154"/>
    <w:rsid w:val="0073567F"/>
    <w:rsid w:val="00736081"/>
    <w:rsid w:val="007378EC"/>
    <w:rsid w:val="00742D28"/>
    <w:rsid w:val="007448D5"/>
    <w:rsid w:val="00744CA9"/>
    <w:rsid w:val="007464E1"/>
    <w:rsid w:val="007513D8"/>
    <w:rsid w:val="007535BD"/>
    <w:rsid w:val="007544AE"/>
    <w:rsid w:val="00755338"/>
    <w:rsid w:val="00762189"/>
    <w:rsid w:val="00763BA8"/>
    <w:rsid w:val="00764023"/>
    <w:rsid w:val="0077078B"/>
    <w:rsid w:val="00771E15"/>
    <w:rsid w:val="00772B8A"/>
    <w:rsid w:val="007742DD"/>
    <w:rsid w:val="007742E2"/>
    <w:rsid w:val="007746DB"/>
    <w:rsid w:val="00775E45"/>
    <w:rsid w:val="00785CBB"/>
    <w:rsid w:val="00786156"/>
    <w:rsid w:val="007903C4"/>
    <w:rsid w:val="00795CE4"/>
    <w:rsid w:val="007960FF"/>
    <w:rsid w:val="007A00C1"/>
    <w:rsid w:val="007A36CB"/>
    <w:rsid w:val="007A6370"/>
    <w:rsid w:val="007B16F8"/>
    <w:rsid w:val="007B2C91"/>
    <w:rsid w:val="007B4627"/>
    <w:rsid w:val="007B4C1F"/>
    <w:rsid w:val="007B54A5"/>
    <w:rsid w:val="007B6635"/>
    <w:rsid w:val="007C2B6B"/>
    <w:rsid w:val="007C5D1D"/>
    <w:rsid w:val="007C64FD"/>
    <w:rsid w:val="007D1BEB"/>
    <w:rsid w:val="007D7ED6"/>
    <w:rsid w:val="007E1E5A"/>
    <w:rsid w:val="007E536A"/>
    <w:rsid w:val="007F3291"/>
    <w:rsid w:val="007F32E0"/>
    <w:rsid w:val="007F34E2"/>
    <w:rsid w:val="007F35BB"/>
    <w:rsid w:val="00800F39"/>
    <w:rsid w:val="00805F2A"/>
    <w:rsid w:val="008064A9"/>
    <w:rsid w:val="00806BCE"/>
    <w:rsid w:val="00811AE1"/>
    <w:rsid w:val="008158C4"/>
    <w:rsid w:val="00816DD6"/>
    <w:rsid w:val="00816F29"/>
    <w:rsid w:val="00820E8C"/>
    <w:rsid w:val="00823290"/>
    <w:rsid w:val="008250ED"/>
    <w:rsid w:val="008255BA"/>
    <w:rsid w:val="00831E45"/>
    <w:rsid w:val="00833FA9"/>
    <w:rsid w:val="008349E8"/>
    <w:rsid w:val="00834AE7"/>
    <w:rsid w:val="0083549B"/>
    <w:rsid w:val="00837BA7"/>
    <w:rsid w:val="00841A28"/>
    <w:rsid w:val="00843496"/>
    <w:rsid w:val="00845965"/>
    <w:rsid w:val="00845E56"/>
    <w:rsid w:val="00845E6F"/>
    <w:rsid w:val="00851C8C"/>
    <w:rsid w:val="00853A37"/>
    <w:rsid w:val="00861909"/>
    <w:rsid w:val="00862F0A"/>
    <w:rsid w:val="0086323B"/>
    <w:rsid w:val="0086563B"/>
    <w:rsid w:val="008675E3"/>
    <w:rsid w:val="00873E21"/>
    <w:rsid w:val="00875FA0"/>
    <w:rsid w:val="00876444"/>
    <w:rsid w:val="008778F7"/>
    <w:rsid w:val="00881547"/>
    <w:rsid w:val="00883732"/>
    <w:rsid w:val="00884AB8"/>
    <w:rsid w:val="0088644D"/>
    <w:rsid w:val="00894596"/>
    <w:rsid w:val="00894AEE"/>
    <w:rsid w:val="00896A37"/>
    <w:rsid w:val="00897384"/>
    <w:rsid w:val="0089762C"/>
    <w:rsid w:val="008A2834"/>
    <w:rsid w:val="008A3085"/>
    <w:rsid w:val="008A46BC"/>
    <w:rsid w:val="008B3B18"/>
    <w:rsid w:val="008B43FD"/>
    <w:rsid w:val="008B6377"/>
    <w:rsid w:val="008B782B"/>
    <w:rsid w:val="008C0B7C"/>
    <w:rsid w:val="008C2F28"/>
    <w:rsid w:val="008C4AD0"/>
    <w:rsid w:val="008C71D8"/>
    <w:rsid w:val="008C7664"/>
    <w:rsid w:val="008D09BA"/>
    <w:rsid w:val="008D61BA"/>
    <w:rsid w:val="008D642E"/>
    <w:rsid w:val="008D6C6C"/>
    <w:rsid w:val="008D7F4B"/>
    <w:rsid w:val="008E6998"/>
    <w:rsid w:val="008F49A8"/>
    <w:rsid w:val="008F5531"/>
    <w:rsid w:val="008F6B0D"/>
    <w:rsid w:val="008F74B9"/>
    <w:rsid w:val="00900A43"/>
    <w:rsid w:val="00900C4B"/>
    <w:rsid w:val="00905BEE"/>
    <w:rsid w:val="00905F8F"/>
    <w:rsid w:val="00905FA7"/>
    <w:rsid w:val="009125EC"/>
    <w:rsid w:val="009131F3"/>
    <w:rsid w:val="009155BD"/>
    <w:rsid w:val="00916825"/>
    <w:rsid w:val="00917EE9"/>
    <w:rsid w:val="0092526D"/>
    <w:rsid w:val="0092763D"/>
    <w:rsid w:val="0093493D"/>
    <w:rsid w:val="00934D70"/>
    <w:rsid w:val="00936FD0"/>
    <w:rsid w:val="0093702A"/>
    <w:rsid w:val="00937C44"/>
    <w:rsid w:val="00940C0D"/>
    <w:rsid w:val="00941ECF"/>
    <w:rsid w:val="00942BBA"/>
    <w:rsid w:val="00944606"/>
    <w:rsid w:val="00944B8E"/>
    <w:rsid w:val="00945293"/>
    <w:rsid w:val="009455B5"/>
    <w:rsid w:val="00951043"/>
    <w:rsid w:val="00951E14"/>
    <w:rsid w:val="00955D47"/>
    <w:rsid w:val="00957B1A"/>
    <w:rsid w:val="00957FB1"/>
    <w:rsid w:val="009607EF"/>
    <w:rsid w:val="0096663C"/>
    <w:rsid w:val="009668FB"/>
    <w:rsid w:val="009728A7"/>
    <w:rsid w:val="0097748A"/>
    <w:rsid w:val="00981760"/>
    <w:rsid w:val="009831F1"/>
    <w:rsid w:val="00985DF3"/>
    <w:rsid w:val="00987584"/>
    <w:rsid w:val="0099160F"/>
    <w:rsid w:val="0099332B"/>
    <w:rsid w:val="0099511A"/>
    <w:rsid w:val="009957C7"/>
    <w:rsid w:val="0099645E"/>
    <w:rsid w:val="009967FB"/>
    <w:rsid w:val="0099753A"/>
    <w:rsid w:val="009A1A35"/>
    <w:rsid w:val="009A7415"/>
    <w:rsid w:val="009B0996"/>
    <w:rsid w:val="009B1E2D"/>
    <w:rsid w:val="009B4568"/>
    <w:rsid w:val="009B6B7C"/>
    <w:rsid w:val="009C1F0C"/>
    <w:rsid w:val="009C3559"/>
    <w:rsid w:val="009C50AC"/>
    <w:rsid w:val="009C5332"/>
    <w:rsid w:val="009C5655"/>
    <w:rsid w:val="009C628F"/>
    <w:rsid w:val="009C670C"/>
    <w:rsid w:val="009D05D5"/>
    <w:rsid w:val="009D0A6E"/>
    <w:rsid w:val="009D129E"/>
    <w:rsid w:val="009D5D10"/>
    <w:rsid w:val="009D6F0B"/>
    <w:rsid w:val="009D7F5E"/>
    <w:rsid w:val="009E0D89"/>
    <w:rsid w:val="009E1143"/>
    <w:rsid w:val="009E22D4"/>
    <w:rsid w:val="009E3409"/>
    <w:rsid w:val="009E613A"/>
    <w:rsid w:val="009F047F"/>
    <w:rsid w:val="009F074E"/>
    <w:rsid w:val="009F3D4A"/>
    <w:rsid w:val="009F456B"/>
    <w:rsid w:val="00A017A4"/>
    <w:rsid w:val="00A05968"/>
    <w:rsid w:val="00A05C1F"/>
    <w:rsid w:val="00A1072A"/>
    <w:rsid w:val="00A14C84"/>
    <w:rsid w:val="00A17391"/>
    <w:rsid w:val="00A2065C"/>
    <w:rsid w:val="00A2437E"/>
    <w:rsid w:val="00A247E2"/>
    <w:rsid w:val="00A26E22"/>
    <w:rsid w:val="00A27DC8"/>
    <w:rsid w:val="00A30259"/>
    <w:rsid w:val="00A312D5"/>
    <w:rsid w:val="00A32C00"/>
    <w:rsid w:val="00A34E38"/>
    <w:rsid w:val="00A355EE"/>
    <w:rsid w:val="00A3613E"/>
    <w:rsid w:val="00A36255"/>
    <w:rsid w:val="00A378F2"/>
    <w:rsid w:val="00A51BC5"/>
    <w:rsid w:val="00A6046F"/>
    <w:rsid w:val="00A63ABC"/>
    <w:rsid w:val="00A6487A"/>
    <w:rsid w:val="00A67700"/>
    <w:rsid w:val="00A70697"/>
    <w:rsid w:val="00A70C03"/>
    <w:rsid w:val="00A74F72"/>
    <w:rsid w:val="00A75388"/>
    <w:rsid w:val="00A770E1"/>
    <w:rsid w:val="00A82E93"/>
    <w:rsid w:val="00A839A3"/>
    <w:rsid w:val="00A867E4"/>
    <w:rsid w:val="00A9060A"/>
    <w:rsid w:val="00A930C1"/>
    <w:rsid w:val="00A9666D"/>
    <w:rsid w:val="00AA5761"/>
    <w:rsid w:val="00AA6276"/>
    <w:rsid w:val="00AB0F37"/>
    <w:rsid w:val="00AB12A2"/>
    <w:rsid w:val="00AB16E5"/>
    <w:rsid w:val="00AB6764"/>
    <w:rsid w:val="00AC3981"/>
    <w:rsid w:val="00AC3EC2"/>
    <w:rsid w:val="00AC7AF9"/>
    <w:rsid w:val="00AC7B77"/>
    <w:rsid w:val="00AD2882"/>
    <w:rsid w:val="00AD2D8D"/>
    <w:rsid w:val="00AD37E6"/>
    <w:rsid w:val="00AD4C62"/>
    <w:rsid w:val="00AE0ADE"/>
    <w:rsid w:val="00AE1627"/>
    <w:rsid w:val="00AE2616"/>
    <w:rsid w:val="00AE30E5"/>
    <w:rsid w:val="00AE3817"/>
    <w:rsid w:val="00AE3DB1"/>
    <w:rsid w:val="00AE737D"/>
    <w:rsid w:val="00AE7DBB"/>
    <w:rsid w:val="00AF143C"/>
    <w:rsid w:val="00AF3DB8"/>
    <w:rsid w:val="00AF50C2"/>
    <w:rsid w:val="00AF59A3"/>
    <w:rsid w:val="00AF6238"/>
    <w:rsid w:val="00AF7356"/>
    <w:rsid w:val="00B02142"/>
    <w:rsid w:val="00B02E27"/>
    <w:rsid w:val="00B132E8"/>
    <w:rsid w:val="00B140E7"/>
    <w:rsid w:val="00B14680"/>
    <w:rsid w:val="00B16802"/>
    <w:rsid w:val="00B2060C"/>
    <w:rsid w:val="00B22707"/>
    <w:rsid w:val="00B23DDA"/>
    <w:rsid w:val="00B26631"/>
    <w:rsid w:val="00B35D9B"/>
    <w:rsid w:val="00B36B37"/>
    <w:rsid w:val="00B37BEE"/>
    <w:rsid w:val="00B4077C"/>
    <w:rsid w:val="00B41BD0"/>
    <w:rsid w:val="00B4440F"/>
    <w:rsid w:val="00B44B7E"/>
    <w:rsid w:val="00B4620C"/>
    <w:rsid w:val="00B52DC4"/>
    <w:rsid w:val="00B55C6D"/>
    <w:rsid w:val="00B5707E"/>
    <w:rsid w:val="00B60F92"/>
    <w:rsid w:val="00B63909"/>
    <w:rsid w:val="00B660FF"/>
    <w:rsid w:val="00B66383"/>
    <w:rsid w:val="00B708C9"/>
    <w:rsid w:val="00B73C61"/>
    <w:rsid w:val="00B7635F"/>
    <w:rsid w:val="00B779BC"/>
    <w:rsid w:val="00B80DF5"/>
    <w:rsid w:val="00B81916"/>
    <w:rsid w:val="00B82C4D"/>
    <w:rsid w:val="00B832D5"/>
    <w:rsid w:val="00B86843"/>
    <w:rsid w:val="00B90161"/>
    <w:rsid w:val="00B92374"/>
    <w:rsid w:val="00B9283B"/>
    <w:rsid w:val="00B94DA4"/>
    <w:rsid w:val="00BA0479"/>
    <w:rsid w:val="00BA1F23"/>
    <w:rsid w:val="00BA40D5"/>
    <w:rsid w:val="00BA69D7"/>
    <w:rsid w:val="00BA79C0"/>
    <w:rsid w:val="00BA7E5B"/>
    <w:rsid w:val="00BB1A56"/>
    <w:rsid w:val="00BB46EA"/>
    <w:rsid w:val="00BB4F77"/>
    <w:rsid w:val="00BC09EB"/>
    <w:rsid w:val="00BC4263"/>
    <w:rsid w:val="00BC5171"/>
    <w:rsid w:val="00BD0A25"/>
    <w:rsid w:val="00BD0EAD"/>
    <w:rsid w:val="00BD1BEB"/>
    <w:rsid w:val="00BD2829"/>
    <w:rsid w:val="00BD2C03"/>
    <w:rsid w:val="00BD6FB6"/>
    <w:rsid w:val="00BD7382"/>
    <w:rsid w:val="00BE0C4A"/>
    <w:rsid w:val="00BE3E81"/>
    <w:rsid w:val="00BE5F24"/>
    <w:rsid w:val="00BF37E1"/>
    <w:rsid w:val="00BF727B"/>
    <w:rsid w:val="00C0307B"/>
    <w:rsid w:val="00C054F8"/>
    <w:rsid w:val="00C11911"/>
    <w:rsid w:val="00C11DF6"/>
    <w:rsid w:val="00C14F1D"/>
    <w:rsid w:val="00C15EF2"/>
    <w:rsid w:val="00C1727E"/>
    <w:rsid w:val="00C201BF"/>
    <w:rsid w:val="00C2120C"/>
    <w:rsid w:val="00C2221E"/>
    <w:rsid w:val="00C24B0F"/>
    <w:rsid w:val="00C25920"/>
    <w:rsid w:val="00C27204"/>
    <w:rsid w:val="00C30488"/>
    <w:rsid w:val="00C343CE"/>
    <w:rsid w:val="00C3545F"/>
    <w:rsid w:val="00C400C2"/>
    <w:rsid w:val="00C443CF"/>
    <w:rsid w:val="00C6057C"/>
    <w:rsid w:val="00C60CF6"/>
    <w:rsid w:val="00C61294"/>
    <w:rsid w:val="00C6254A"/>
    <w:rsid w:val="00C62C18"/>
    <w:rsid w:val="00C63F55"/>
    <w:rsid w:val="00C64391"/>
    <w:rsid w:val="00C65DF8"/>
    <w:rsid w:val="00C66198"/>
    <w:rsid w:val="00C67864"/>
    <w:rsid w:val="00C770BC"/>
    <w:rsid w:val="00C779D0"/>
    <w:rsid w:val="00C80419"/>
    <w:rsid w:val="00C81D58"/>
    <w:rsid w:val="00C840B6"/>
    <w:rsid w:val="00C85A5A"/>
    <w:rsid w:val="00C907D7"/>
    <w:rsid w:val="00C93CD3"/>
    <w:rsid w:val="00C95253"/>
    <w:rsid w:val="00C9625D"/>
    <w:rsid w:val="00CA07B7"/>
    <w:rsid w:val="00CA4E0F"/>
    <w:rsid w:val="00CA5985"/>
    <w:rsid w:val="00CA7EC0"/>
    <w:rsid w:val="00CB03D7"/>
    <w:rsid w:val="00CB0EFE"/>
    <w:rsid w:val="00CB53CD"/>
    <w:rsid w:val="00CB5959"/>
    <w:rsid w:val="00CB5A73"/>
    <w:rsid w:val="00CB73D7"/>
    <w:rsid w:val="00CC28A6"/>
    <w:rsid w:val="00CC5190"/>
    <w:rsid w:val="00CC53DE"/>
    <w:rsid w:val="00CD46FC"/>
    <w:rsid w:val="00CD5175"/>
    <w:rsid w:val="00CF17DB"/>
    <w:rsid w:val="00CF2965"/>
    <w:rsid w:val="00CF41B8"/>
    <w:rsid w:val="00CF6E72"/>
    <w:rsid w:val="00CF6F7E"/>
    <w:rsid w:val="00D02C4D"/>
    <w:rsid w:val="00D03484"/>
    <w:rsid w:val="00D03FE6"/>
    <w:rsid w:val="00D044AC"/>
    <w:rsid w:val="00D0614A"/>
    <w:rsid w:val="00D07D87"/>
    <w:rsid w:val="00D12BD4"/>
    <w:rsid w:val="00D20393"/>
    <w:rsid w:val="00D21D53"/>
    <w:rsid w:val="00D24F7B"/>
    <w:rsid w:val="00D31154"/>
    <w:rsid w:val="00D3133A"/>
    <w:rsid w:val="00D33CE3"/>
    <w:rsid w:val="00D34D79"/>
    <w:rsid w:val="00D3560C"/>
    <w:rsid w:val="00D4124B"/>
    <w:rsid w:val="00D44322"/>
    <w:rsid w:val="00D4497D"/>
    <w:rsid w:val="00D44F6C"/>
    <w:rsid w:val="00D457ED"/>
    <w:rsid w:val="00D46794"/>
    <w:rsid w:val="00D472C8"/>
    <w:rsid w:val="00D4766E"/>
    <w:rsid w:val="00D51786"/>
    <w:rsid w:val="00D55790"/>
    <w:rsid w:val="00D65359"/>
    <w:rsid w:val="00D66DAF"/>
    <w:rsid w:val="00D6740A"/>
    <w:rsid w:val="00D6793A"/>
    <w:rsid w:val="00D71A51"/>
    <w:rsid w:val="00D739C8"/>
    <w:rsid w:val="00D76A6E"/>
    <w:rsid w:val="00D80492"/>
    <w:rsid w:val="00D80FAD"/>
    <w:rsid w:val="00D819C7"/>
    <w:rsid w:val="00D85127"/>
    <w:rsid w:val="00D86A5B"/>
    <w:rsid w:val="00D962DE"/>
    <w:rsid w:val="00D97667"/>
    <w:rsid w:val="00D9780D"/>
    <w:rsid w:val="00DA295F"/>
    <w:rsid w:val="00DA32D8"/>
    <w:rsid w:val="00DA3626"/>
    <w:rsid w:val="00DB1C80"/>
    <w:rsid w:val="00DB51F3"/>
    <w:rsid w:val="00DB55EB"/>
    <w:rsid w:val="00DB59E4"/>
    <w:rsid w:val="00DB622B"/>
    <w:rsid w:val="00DC4D58"/>
    <w:rsid w:val="00DC7CFA"/>
    <w:rsid w:val="00DD4EAA"/>
    <w:rsid w:val="00DD5C3F"/>
    <w:rsid w:val="00DE2663"/>
    <w:rsid w:val="00DE3049"/>
    <w:rsid w:val="00DF214A"/>
    <w:rsid w:val="00DF3148"/>
    <w:rsid w:val="00DF567B"/>
    <w:rsid w:val="00E003C6"/>
    <w:rsid w:val="00E008E9"/>
    <w:rsid w:val="00E04286"/>
    <w:rsid w:val="00E06324"/>
    <w:rsid w:val="00E11722"/>
    <w:rsid w:val="00E12B1C"/>
    <w:rsid w:val="00E12BFC"/>
    <w:rsid w:val="00E12CB3"/>
    <w:rsid w:val="00E154F7"/>
    <w:rsid w:val="00E2085D"/>
    <w:rsid w:val="00E20E86"/>
    <w:rsid w:val="00E21C85"/>
    <w:rsid w:val="00E23C9D"/>
    <w:rsid w:val="00E26344"/>
    <w:rsid w:val="00E31096"/>
    <w:rsid w:val="00E37BFF"/>
    <w:rsid w:val="00E42F1E"/>
    <w:rsid w:val="00E432A2"/>
    <w:rsid w:val="00E50235"/>
    <w:rsid w:val="00E52E8F"/>
    <w:rsid w:val="00E5453A"/>
    <w:rsid w:val="00E5460A"/>
    <w:rsid w:val="00E54F01"/>
    <w:rsid w:val="00E553DD"/>
    <w:rsid w:val="00E55A33"/>
    <w:rsid w:val="00E56EEB"/>
    <w:rsid w:val="00E61C1F"/>
    <w:rsid w:val="00E647E3"/>
    <w:rsid w:val="00E7086A"/>
    <w:rsid w:val="00E72482"/>
    <w:rsid w:val="00E7293A"/>
    <w:rsid w:val="00E8169D"/>
    <w:rsid w:val="00E85A5A"/>
    <w:rsid w:val="00E91D7B"/>
    <w:rsid w:val="00E948F1"/>
    <w:rsid w:val="00E95E46"/>
    <w:rsid w:val="00E97A1B"/>
    <w:rsid w:val="00EA004E"/>
    <w:rsid w:val="00EA12C4"/>
    <w:rsid w:val="00EA6032"/>
    <w:rsid w:val="00EB1C45"/>
    <w:rsid w:val="00EB1DBB"/>
    <w:rsid w:val="00EB21E4"/>
    <w:rsid w:val="00EB6513"/>
    <w:rsid w:val="00EC1B1E"/>
    <w:rsid w:val="00EC21C7"/>
    <w:rsid w:val="00EC577D"/>
    <w:rsid w:val="00ED2252"/>
    <w:rsid w:val="00ED4EC6"/>
    <w:rsid w:val="00EE3F3A"/>
    <w:rsid w:val="00EE64B8"/>
    <w:rsid w:val="00EE7964"/>
    <w:rsid w:val="00EF2B92"/>
    <w:rsid w:val="00EF310E"/>
    <w:rsid w:val="00EF74D7"/>
    <w:rsid w:val="00F07B90"/>
    <w:rsid w:val="00F1035F"/>
    <w:rsid w:val="00F13CD8"/>
    <w:rsid w:val="00F14834"/>
    <w:rsid w:val="00F157B5"/>
    <w:rsid w:val="00F17DA2"/>
    <w:rsid w:val="00F22923"/>
    <w:rsid w:val="00F22CF4"/>
    <w:rsid w:val="00F231DB"/>
    <w:rsid w:val="00F24605"/>
    <w:rsid w:val="00F25FD9"/>
    <w:rsid w:val="00F2683E"/>
    <w:rsid w:val="00F26DF6"/>
    <w:rsid w:val="00F30B37"/>
    <w:rsid w:val="00F314DB"/>
    <w:rsid w:val="00F42D01"/>
    <w:rsid w:val="00F435DD"/>
    <w:rsid w:val="00F43C48"/>
    <w:rsid w:val="00F44495"/>
    <w:rsid w:val="00F46C48"/>
    <w:rsid w:val="00F470BA"/>
    <w:rsid w:val="00F51418"/>
    <w:rsid w:val="00F51E70"/>
    <w:rsid w:val="00F534AB"/>
    <w:rsid w:val="00F5386E"/>
    <w:rsid w:val="00F56860"/>
    <w:rsid w:val="00F57ED2"/>
    <w:rsid w:val="00F62C49"/>
    <w:rsid w:val="00F641FF"/>
    <w:rsid w:val="00F64578"/>
    <w:rsid w:val="00F67BE8"/>
    <w:rsid w:val="00F70346"/>
    <w:rsid w:val="00F740A1"/>
    <w:rsid w:val="00F74FF0"/>
    <w:rsid w:val="00F75A66"/>
    <w:rsid w:val="00F91EFC"/>
    <w:rsid w:val="00F92BDA"/>
    <w:rsid w:val="00F93939"/>
    <w:rsid w:val="00F945D1"/>
    <w:rsid w:val="00F96081"/>
    <w:rsid w:val="00F96DB2"/>
    <w:rsid w:val="00F97860"/>
    <w:rsid w:val="00FA056A"/>
    <w:rsid w:val="00FA3CEB"/>
    <w:rsid w:val="00FA4602"/>
    <w:rsid w:val="00FA670A"/>
    <w:rsid w:val="00FA7B20"/>
    <w:rsid w:val="00FB0B36"/>
    <w:rsid w:val="00FB2E25"/>
    <w:rsid w:val="00FB50B0"/>
    <w:rsid w:val="00FB70D7"/>
    <w:rsid w:val="00FC37B5"/>
    <w:rsid w:val="00FC4D6F"/>
    <w:rsid w:val="00FC6A8A"/>
    <w:rsid w:val="00FC7294"/>
    <w:rsid w:val="00FD0775"/>
    <w:rsid w:val="00FD45AA"/>
    <w:rsid w:val="00FD56F6"/>
    <w:rsid w:val="00FD7C1D"/>
    <w:rsid w:val="00FE3F2B"/>
    <w:rsid w:val="00FE5542"/>
    <w:rsid w:val="00FE621B"/>
    <w:rsid w:val="00FE69DA"/>
    <w:rsid w:val="00FE7653"/>
    <w:rsid w:val="00FF39D8"/>
    <w:rsid w:val="00FF63EB"/>
    <w:rsid w:val="00FF67D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8677"/>
  <w15:docId w15:val="{B00AD132-A4F8-4D5D-879F-9D7B8503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5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92"/>
  </w:style>
  <w:style w:type="paragraph" w:styleId="Footer">
    <w:name w:val="footer"/>
    <w:basedOn w:val="Normal"/>
    <w:link w:val="FooterChar"/>
    <w:uiPriority w:val="99"/>
    <w:unhideWhenUsed/>
    <w:rsid w:val="00EF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A989-72CE-47B1-B40B-8E9E40CC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Rothstein</dc:creator>
  <cp:lastModifiedBy>Paul Rothstein</cp:lastModifiedBy>
  <cp:revision>127</cp:revision>
  <cp:lastPrinted>2018-12-08T01:37:00Z</cp:lastPrinted>
  <dcterms:created xsi:type="dcterms:W3CDTF">2018-12-07T03:19:00Z</dcterms:created>
  <dcterms:modified xsi:type="dcterms:W3CDTF">2023-01-22T20:18:00Z</dcterms:modified>
</cp:coreProperties>
</file>